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CE" w:rsidRPr="004D685D" w:rsidRDefault="00B534CE" w:rsidP="00381B9F">
      <w:pPr>
        <w:pStyle w:val="NoSpace"/>
        <w:spacing w:before="2400" w:after="2000"/>
      </w:pPr>
    </w:p>
    <w:p w:rsidR="00B534CE" w:rsidRPr="004D685D" w:rsidRDefault="001175A3" w:rsidP="00381B9F">
      <w:pPr>
        <w:pStyle w:val="Title"/>
        <w:jc w:val="left"/>
      </w:pPr>
      <w:r>
        <w:t>Ability Links NSW – Social Cost Benefit Analysis</w:t>
      </w:r>
    </w:p>
    <w:p w:rsidR="00B534CE" w:rsidRPr="004D685D" w:rsidRDefault="004D685D" w:rsidP="00381B9F">
      <w:pPr>
        <w:pStyle w:val="Subtitle"/>
        <w:jc w:val="left"/>
      </w:pPr>
      <w:bookmarkStart w:id="0" w:name="UrbisSubTitle"/>
      <w:r w:rsidRPr="004D685D">
        <w:t xml:space="preserve">Prepared </w:t>
      </w:r>
      <w:r>
        <w:t>f</w:t>
      </w:r>
      <w:r w:rsidRPr="004D685D">
        <w:t xml:space="preserve">or </w:t>
      </w:r>
      <w:bookmarkEnd w:id="0"/>
      <w:r w:rsidR="001175A3">
        <w:t>NSW Department of Family and Community Services</w:t>
      </w:r>
    </w:p>
    <w:p w:rsidR="00B534CE" w:rsidRPr="004D685D" w:rsidRDefault="004D685D" w:rsidP="004D685D">
      <w:pPr>
        <w:pStyle w:val="Logo"/>
        <w:tabs>
          <w:tab w:val="left" w:pos="6492"/>
          <w:tab w:val="right" w:pos="10772"/>
        </w:tabs>
        <w:jc w:val="left"/>
        <w:sectPr w:rsidR="00B534CE" w:rsidRPr="004D685D" w:rsidSect="00B534CE">
          <w:pgSz w:w="11906" w:h="16838"/>
          <w:pgMar w:top="567" w:right="567" w:bottom="567" w:left="567" w:header="709" w:footer="709" w:gutter="0"/>
          <w:cols w:space="708"/>
          <w:docGrid w:linePitch="360"/>
        </w:sectPr>
      </w:pPr>
      <w:r>
        <w:rPr>
          <w:noProof/>
          <w:lang w:eastAsia="en-AU"/>
        </w:rPr>
        <w:drawing>
          <wp:inline distT="0" distB="0" distL="0" distR="0">
            <wp:extent cx="6947065" cy="2013667"/>
            <wp:effectExtent l="0" t="0" r="6350" b="5715"/>
            <wp:docPr id="6" name="Picture 6" descr="Urbis logo" title="Ur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_URBIS_FINAL-ALL.jpg"/>
                    <pic:cNvPicPr/>
                  </pic:nvPicPr>
                  <pic:blipFill rotWithShape="1">
                    <a:blip r:embed="rId10" cstate="print">
                      <a:extLst>
                        <a:ext uri="{28A0092B-C50C-407E-A947-70E740481C1C}">
                          <a14:useLocalDpi xmlns:a14="http://schemas.microsoft.com/office/drawing/2010/main" val="0"/>
                        </a:ext>
                      </a:extLst>
                    </a:blip>
                    <a:srcRect l="8163"/>
                    <a:stretch/>
                  </pic:blipFill>
                  <pic:spPr bwMode="auto">
                    <a:xfrm>
                      <a:off x="0" y="0"/>
                      <a:ext cx="6948973" cy="2014220"/>
                    </a:xfrm>
                    <a:prstGeom prst="rect">
                      <a:avLst/>
                    </a:prstGeom>
                    <a:ln>
                      <a:noFill/>
                    </a:ln>
                    <a:extLst>
                      <a:ext uri="{53640926-AAD7-44D8-BBD7-CCE9431645EC}">
                        <a14:shadowObscured xmlns:a14="http://schemas.microsoft.com/office/drawing/2010/main"/>
                      </a:ext>
                    </a:extLst>
                  </pic:spPr>
                </pic:pic>
              </a:graphicData>
            </a:graphic>
          </wp:inline>
        </w:drawing>
      </w:r>
    </w:p>
    <w:p w:rsidR="003615E3" w:rsidRPr="004D685D" w:rsidRDefault="00B216C7" w:rsidP="00EA5BD5">
      <w:bookmarkStart w:id="1" w:name="disclaimerheader"/>
      <w:bookmarkStart w:id="2" w:name="UrbisStaff"/>
      <w:r w:rsidRPr="004D685D">
        <w:lastRenderedPageBreak/>
        <w:t xml:space="preserve">Urbis </w:t>
      </w:r>
      <w:proofErr w:type="gramStart"/>
      <w:r w:rsidRPr="004D685D">
        <w:t>s</w:t>
      </w:r>
      <w:r w:rsidR="00633178" w:rsidRPr="004D685D">
        <w:t xml:space="preserve">taff </w:t>
      </w:r>
      <w:r w:rsidRPr="004D685D">
        <w:t>r</w:t>
      </w:r>
      <w:r w:rsidR="00633178" w:rsidRPr="004D685D">
        <w:t xml:space="preserve">esponsible for </w:t>
      </w:r>
      <w:r w:rsidRPr="004D685D">
        <w:t>t</w:t>
      </w:r>
      <w:r w:rsidR="00633178" w:rsidRPr="004D685D">
        <w:t xml:space="preserve">his </w:t>
      </w:r>
      <w:r w:rsidR="00381B9F">
        <w:t>report</w:t>
      </w:r>
      <w:r w:rsidR="00633178" w:rsidRPr="004D685D">
        <w:t xml:space="preserve"> </w:t>
      </w:r>
      <w:r w:rsidRPr="004D685D">
        <w:t>w</w:t>
      </w:r>
      <w:r w:rsidR="00633178" w:rsidRPr="004D685D">
        <w:t>ere</w:t>
      </w:r>
      <w:proofErr w:type="gramEnd"/>
      <w:r w:rsidR="003615E3" w:rsidRPr="004D685D">
        <w:t>:</w:t>
      </w:r>
    </w:p>
    <w:p w:rsidR="00B0454F" w:rsidRDefault="00B0454F" w:rsidP="009522B1">
      <w:pPr>
        <w:pStyle w:val="UrbisTableBody0"/>
        <w:tabs>
          <w:tab w:val="left" w:leader="dot" w:pos="3402"/>
        </w:tabs>
      </w:pPr>
      <w:r>
        <w:t>Director</w:t>
      </w:r>
      <w:r>
        <w:tab/>
      </w:r>
      <w:r w:rsidR="001175A3">
        <w:t>Nicki Hutley</w:t>
      </w:r>
    </w:p>
    <w:p w:rsidR="00B0454F" w:rsidRDefault="00B0454F" w:rsidP="009522B1">
      <w:pPr>
        <w:pStyle w:val="UrbisTableBody0"/>
        <w:tabs>
          <w:tab w:val="left" w:leader="dot" w:pos="3402"/>
        </w:tabs>
      </w:pPr>
      <w:r>
        <w:t>Consultant</w:t>
      </w:r>
      <w:r>
        <w:tab/>
      </w:r>
      <w:r w:rsidR="001175A3">
        <w:t>Alex Batchen</w:t>
      </w:r>
    </w:p>
    <w:p w:rsidR="00B0454F" w:rsidRDefault="00B0454F" w:rsidP="009522B1">
      <w:pPr>
        <w:pStyle w:val="UrbisTableBody0"/>
        <w:tabs>
          <w:tab w:val="left" w:leader="dot" w:pos="3402"/>
        </w:tabs>
      </w:pPr>
      <w:r>
        <w:t>Project Code</w:t>
      </w:r>
      <w:r>
        <w:tab/>
        <w:t>SPP</w:t>
      </w:r>
      <w:r w:rsidR="001175A3">
        <w:t>20213</w:t>
      </w:r>
    </w:p>
    <w:p w:rsidR="00EA5BD5" w:rsidRPr="004D685D" w:rsidRDefault="00B0454F" w:rsidP="009522B1">
      <w:pPr>
        <w:pStyle w:val="UrbisTableBody0"/>
        <w:tabs>
          <w:tab w:val="left" w:leader="dot" w:pos="3402"/>
        </w:tabs>
      </w:pPr>
      <w:r>
        <w:t>Report Number</w:t>
      </w:r>
      <w:r>
        <w:tab/>
        <w:t xml:space="preserve">Final Report </w:t>
      </w:r>
    </w:p>
    <w:bookmarkEnd w:id="1"/>
    <w:bookmarkEnd w:id="2"/>
    <w:p w:rsidR="00970C9E" w:rsidRPr="004D685D" w:rsidRDefault="00970C9E" w:rsidP="00EA5BD5">
      <w:pPr>
        <w:pStyle w:val="DisclaimerPadding"/>
      </w:pPr>
    </w:p>
    <w:p w:rsidR="00F128B7" w:rsidRPr="00BC5A17" w:rsidRDefault="00F128B7" w:rsidP="00F128B7">
      <w:pPr>
        <w:pStyle w:val="UrbisCopyright"/>
      </w:pPr>
      <w:r w:rsidRPr="00BC5A17">
        <w:t xml:space="preserve">© </w:t>
      </w:r>
      <w:bookmarkStart w:id="3" w:name="UrbisCompany"/>
      <w:r>
        <w:t>Urbis Pty Ltd</w:t>
      </w:r>
      <w:bookmarkEnd w:id="3"/>
    </w:p>
    <w:p w:rsidR="00F128B7" w:rsidRPr="00BC5A17" w:rsidRDefault="00F128B7" w:rsidP="00F128B7">
      <w:pPr>
        <w:pStyle w:val="UrbisCopyright"/>
      </w:pPr>
      <w:r w:rsidRPr="00BC5A17">
        <w:t xml:space="preserve">ABN </w:t>
      </w:r>
      <w:bookmarkStart w:id="4" w:name="UrbisABN"/>
      <w:r>
        <w:t>50 105 256 228</w:t>
      </w:r>
      <w:bookmarkEnd w:id="4"/>
    </w:p>
    <w:p w:rsidR="00F128B7" w:rsidRPr="00BC5A17" w:rsidRDefault="00F128B7" w:rsidP="00F128B7">
      <w:pPr>
        <w:pStyle w:val="UrbisCopyright"/>
      </w:pPr>
    </w:p>
    <w:p w:rsidR="00F128B7" w:rsidRPr="00BC5A17" w:rsidRDefault="00F128B7" w:rsidP="00F128B7">
      <w:pPr>
        <w:pStyle w:val="UrbisCopyright"/>
      </w:pPr>
      <w:r w:rsidRPr="00BC5A17">
        <w:t>All Rights Reserved. No material may be reproduced without prior permission.</w:t>
      </w:r>
    </w:p>
    <w:p w:rsidR="00F128B7" w:rsidRPr="00BC5A17" w:rsidRDefault="00F128B7" w:rsidP="00F128B7">
      <w:pPr>
        <w:pStyle w:val="UrbisCopyright"/>
      </w:pPr>
    </w:p>
    <w:p w:rsidR="00F128B7" w:rsidRPr="00BC5A17" w:rsidRDefault="00F128B7" w:rsidP="00F128B7">
      <w:pPr>
        <w:pStyle w:val="UrbisCopyright"/>
      </w:pPr>
      <w:r w:rsidRPr="00BC5A17">
        <w:t>You must read the important disclaimer appearing within the body of this report.</w:t>
      </w:r>
    </w:p>
    <w:p w:rsidR="00F128B7" w:rsidRPr="00BC5A17" w:rsidRDefault="00F128B7" w:rsidP="00F128B7">
      <w:pPr>
        <w:pStyle w:val="UrbisCopyright"/>
        <w:rPr>
          <w:b/>
        </w:rPr>
      </w:pPr>
    </w:p>
    <w:p w:rsidR="00F128B7" w:rsidRPr="00376FE0" w:rsidRDefault="00F128B7" w:rsidP="00F128B7">
      <w:pPr>
        <w:pStyle w:val="Footer"/>
        <w:rPr>
          <w:b/>
        </w:rPr>
      </w:pPr>
      <w:r w:rsidRPr="00376FE0">
        <w:rPr>
          <w:b/>
        </w:rPr>
        <w:t>urbis.com.au</w:t>
      </w:r>
    </w:p>
    <w:p w:rsidR="00970C9E" w:rsidRPr="004D685D" w:rsidRDefault="00970C9E" w:rsidP="00B534CE"/>
    <w:p w:rsidR="00970C9E" w:rsidRPr="004D685D" w:rsidRDefault="00970C9E" w:rsidP="00B534CE">
      <w:pPr>
        <w:sectPr w:rsidR="00970C9E" w:rsidRPr="004D685D" w:rsidSect="00D41159">
          <w:headerReference w:type="default" r:id="rId11"/>
          <w:footerReference w:type="default" r:id="rId12"/>
          <w:headerReference w:type="first" r:id="rId13"/>
          <w:footerReference w:type="first" r:id="rId14"/>
          <w:pgSz w:w="11907" w:h="16840" w:code="9"/>
          <w:pgMar w:top="1134" w:right="1134" w:bottom="567" w:left="1417" w:header="272" w:footer="351" w:gutter="0"/>
          <w:cols w:space="708"/>
          <w:titlePg/>
          <w:docGrid w:linePitch="360"/>
        </w:sectPr>
      </w:pPr>
    </w:p>
    <w:p w:rsidR="00B534CE" w:rsidRPr="004D685D" w:rsidRDefault="00633178" w:rsidP="00633178">
      <w:pPr>
        <w:pStyle w:val="TOCSubheadings"/>
      </w:pPr>
      <w:r w:rsidRPr="004D685D">
        <w:lastRenderedPageBreak/>
        <w:t>Table of Contents</w:t>
      </w:r>
    </w:p>
    <w:p w:rsidR="000E77BC" w:rsidRDefault="00817195">
      <w:pPr>
        <w:pStyle w:val="TOC1"/>
        <w:rPr>
          <w:rFonts w:asciiTheme="minorHAnsi" w:eastAsiaTheme="minorEastAsia" w:hAnsiTheme="minorHAnsi" w:cstheme="minorBidi"/>
          <w:b w:val="0"/>
          <w:sz w:val="22"/>
          <w:szCs w:val="22"/>
          <w:lang w:eastAsia="en-AU"/>
        </w:rPr>
      </w:pPr>
      <w:r>
        <w:rPr>
          <w:rStyle w:val="Hyperlink"/>
          <w:noProof w:val="0"/>
        </w:rPr>
        <w:fldChar w:fldCharType="begin"/>
      </w:r>
      <w:r>
        <w:rPr>
          <w:rStyle w:val="Hyperlink"/>
          <w:noProof w:val="0"/>
        </w:rPr>
        <w:instrText xml:space="preserve"> TOC \o "1-3" \h \z \u </w:instrText>
      </w:r>
      <w:r>
        <w:rPr>
          <w:rStyle w:val="Hyperlink"/>
          <w:noProof w:val="0"/>
        </w:rPr>
        <w:fldChar w:fldCharType="separate"/>
      </w:r>
      <w:hyperlink w:anchor="_Toc467133508" w:history="1">
        <w:r w:rsidR="000E77BC" w:rsidRPr="00EF69AA">
          <w:rPr>
            <w:rStyle w:val="Hyperlink"/>
          </w:rPr>
          <w:t>Acronyms and Definitions</w:t>
        </w:r>
        <w:r w:rsidR="000E77BC">
          <w:rPr>
            <w:webHidden/>
          </w:rPr>
          <w:tab/>
        </w:r>
        <w:r w:rsidR="000E77BC">
          <w:rPr>
            <w:webHidden/>
          </w:rPr>
          <w:fldChar w:fldCharType="begin"/>
        </w:r>
        <w:r w:rsidR="000E77BC">
          <w:rPr>
            <w:webHidden/>
          </w:rPr>
          <w:instrText xml:space="preserve"> PAGEREF _Toc467133508 \h </w:instrText>
        </w:r>
        <w:r w:rsidR="000E77BC">
          <w:rPr>
            <w:webHidden/>
          </w:rPr>
        </w:r>
        <w:r w:rsidR="000E77BC">
          <w:rPr>
            <w:webHidden/>
          </w:rPr>
          <w:fldChar w:fldCharType="separate"/>
        </w:r>
        <w:r w:rsidR="000E77BC">
          <w:rPr>
            <w:webHidden/>
          </w:rPr>
          <w:t>1</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09" w:history="1">
        <w:r w:rsidR="000E77BC" w:rsidRPr="00EF69AA">
          <w:rPr>
            <w:rStyle w:val="Hyperlink"/>
          </w:rPr>
          <w:t>Executive Summary</w:t>
        </w:r>
        <w:r w:rsidR="000E77BC">
          <w:rPr>
            <w:webHidden/>
          </w:rPr>
          <w:tab/>
        </w:r>
        <w:r w:rsidR="000E77BC">
          <w:rPr>
            <w:webHidden/>
          </w:rPr>
          <w:fldChar w:fldCharType="begin"/>
        </w:r>
        <w:r w:rsidR="000E77BC">
          <w:rPr>
            <w:webHidden/>
          </w:rPr>
          <w:instrText xml:space="preserve"> PAGEREF _Toc467133509 \h </w:instrText>
        </w:r>
        <w:r w:rsidR="000E77BC">
          <w:rPr>
            <w:webHidden/>
          </w:rPr>
        </w:r>
        <w:r w:rsidR="000E77BC">
          <w:rPr>
            <w:webHidden/>
          </w:rPr>
          <w:fldChar w:fldCharType="separate"/>
        </w:r>
        <w:r w:rsidR="000E77BC">
          <w:rPr>
            <w:webHidden/>
          </w:rPr>
          <w:t>2</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0" w:history="1">
        <w:r w:rsidR="000E77BC" w:rsidRPr="00EF69AA">
          <w:rPr>
            <w:rStyle w:val="Hyperlink"/>
          </w:rPr>
          <w:t>Outcomes</w:t>
        </w:r>
        <w:r w:rsidR="000E77BC">
          <w:rPr>
            <w:webHidden/>
          </w:rPr>
          <w:tab/>
        </w:r>
        <w:r w:rsidR="000E77BC">
          <w:rPr>
            <w:webHidden/>
          </w:rPr>
          <w:fldChar w:fldCharType="begin"/>
        </w:r>
        <w:r w:rsidR="000E77BC">
          <w:rPr>
            <w:webHidden/>
          </w:rPr>
          <w:instrText xml:space="preserve"> PAGEREF _Toc467133510 \h </w:instrText>
        </w:r>
        <w:r w:rsidR="000E77BC">
          <w:rPr>
            <w:webHidden/>
          </w:rPr>
        </w:r>
        <w:r w:rsidR="000E77BC">
          <w:rPr>
            <w:webHidden/>
          </w:rPr>
          <w:fldChar w:fldCharType="separate"/>
        </w:r>
        <w:r w:rsidR="000E77BC">
          <w:rPr>
            <w:webHidden/>
          </w:rPr>
          <w:t>2</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1" w:history="1">
        <w:r w:rsidR="000E77BC" w:rsidRPr="00EF69AA">
          <w:rPr>
            <w:rStyle w:val="Hyperlink"/>
          </w:rPr>
          <w:t>Methodology</w:t>
        </w:r>
        <w:r w:rsidR="000E77BC">
          <w:rPr>
            <w:webHidden/>
          </w:rPr>
          <w:tab/>
        </w:r>
        <w:r w:rsidR="000E77BC">
          <w:rPr>
            <w:webHidden/>
          </w:rPr>
          <w:fldChar w:fldCharType="begin"/>
        </w:r>
        <w:r w:rsidR="000E77BC">
          <w:rPr>
            <w:webHidden/>
          </w:rPr>
          <w:instrText xml:space="preserve"> PAGEREF _Toc467133511 \h </w:instrText>
        </w:r>
        <w:r w:rsidR="000E77BC">
          <w:rPr>
            <w:webHidden/>
          </w:rPr>
        </w:r>
        <w:r w:rsidR="000E77BC">
          <w:rPr>
            <w:webHidden/>
          </w:rPr>
          <w:fldChar w:fldCharType="separate"/>
        </w:r>
        <w:r w:rsidR="000E77BC">
          <w:rPr>
            <w:webHidden/>
          </w:rPr>
          <w:t>3</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2" w:history="1">
        <w:r w:rsidR="000E77BC" w:rsidRPr="00EF69AA">
          <w:rPr>
            <w:rStyle w:val="Hyperlink"/>
          </w:rPr>
          <w:t>Impact</w:t>
        </w:r>
        <w:r w:rsidR="000E77BC">
          <w:rPr>
            <w:webHidden/>
          </w:rPr>
          <w:tab/>
        </w:r>
        <w:r w:rsidR="000E77BC">
          <w:rPr>
            <w:webHidden/>
          </w:rPr>
          <w:tab/>
        </w:r>
        <w:r w:rsidR="000E77BC">
          <w:rPr>
            <w:webHidden/>
          </w:rPr>
          <w:fldChar w:fldCharType="begin"/>
        </w:r>
        <w:r w:rsidR="000E77BC">
          <w:rPr>
            <w:webHidden/>
          </w:rPr>
          <w:instrText xml:space="preserve"> PAGEREF _Toc467133512 \h </w:instrText>
        </w:r>
        <w:r w:rsidR="000E77BC">
          <w:rPr>
            <w:webHidden/>
          </w:rPr>
        </w:r>
        <w:r w:rsidR="000E77BC">
          <w:rPr>
            <w:webHidden/>
          </w:rPr>
          <w:fldChar w:fldCharType="separate"/>
        </w:r>
        <w:r w:rsidR="000E77BC">
          <w:rPr>
            <w:webHidden/>
          </w:rPr>
          <w:t>4</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3" w:history="1">
        <w:r w:rsidR="000E77BC" w:rsidRPr="00EF69AA">
          <w:rPr>
            <w:rStyle w:val="Hyperlink"/>
          </w:rPr>
          <w:t>Conclusion</w:t>
        </w:r>
        <w:r w:rsidR="000E77BC">
          <w:rPr>
            <w:webHidden/>
          </w:rPr>
          <w:tab/>
        </w:r>
        <w:r w:rsidR="000E77BC">
          <w:rPr>
            <w:webHidden/>
          </w:rPr>
          <w:fldChar w:fldCharType="begin"/>
        </w:r>
        <w:r w:rsidR="000E77BC">
          <w:rPr>
            <w:webHidden/>
          </w:rPr>
          <w:instrText xml:space="preserve"> PAGEREF _Toc467133513 \h </w:instrText>
        </w:r>
        <w:r w:rsidR="000E77BC">
          <w:rPr>
            <w:webHidden/>
          </w:rPr>
        </w:r>
        <w:r w:rsidR="000E77BC">
          <w:rPr>
            <w:webHidden/>
          </w:rPr>
          <w:fldChar w:fldCharType="separate"/>
        </w:r>
        <w:r w:rsidR="000E77BC">
          <w:rPr>
            <w:webHidden/>
          </w:rPr>
          <w:t>5</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14" w:history="1">
        <w:r w:rsidR="000E77BC" w:rsidRPr="00EF69AA">
          <w:rPr>
            <w:rStyle w:val="Hyperlink"/>
          </w:rPr>
          <w:t>Introduction</w:t>
        </w:r>
        <w:r w:rsidR="000E77BC">
          <w:rPr>
            <w:webHidden/>
          </w:rPr>
          <w:tab/>
        </w:r>
        <w:r w:rsidR="000E77BC">
          <w:rPr>
            <w:webHidden/>
          </w:rPr>
          <w:fldChar w:fldCharType="begin"/>
        </w:r>
        <w:r w:rsidR="000E77BC">
          <w:rPr>
            <w:webHidden/>
          </w:rPr>
          <w:instrText xml:space="preserve"> PAGEREF _Toc467133514 \h </w:instrText>
        </w:r>
        <w:r w:rsidR="000E77BC">
          <w:rPr>
            <w:webHidden/>
          </w:rPr>
        </w:r>
        <w:r w:rsidR="000E77BC">
          <w:rPr>
            <w:webHidden/>
          </w:rPr>
          <w:fldChar w:fldCharType="separate"/>
        </w:r>
        <w:r w:rsidR="000E77BC">
          <w:rPr>
            <w:webHidden/>
          </w:rPr>
          <w:t>6</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5" w:history="1">
        <w:r w:rsidR="000E77BC" w:rsidRPr="00EF69AA">
          <w:rPr>
            <w:rStyle w:val="Hyperlink"/>
          </w:rPr>
          <w:t>Context</w:t>
        </w:r>
        <w:r w:rsidR="000E77BC">
          <w:rPr>
            <w:webHidden/>
          </w:rPr>
          <w:tab/>
        </w:r>
        <w:r w:rsidR="000E77BC">
          <w:rPr>
            <w:webHidden/>
          </w:rPr>
          <w:fldChar w:fldCharType="begin"/>
        </w:r>
        <w:r w:rsidR="000E77BC">
          <w:rPr>
            <w:webHidden/>
          </w:rPr>
          <w:instrText xml:space="preserve"> PAGEREF _Toc467133515 \h </w:instrText>
        </w:r>
        <w:r w:rsidR="000E77BC">
          <w:rPr>
            <w:webHidden/>
          </w:rPr>
        </w:r>
        <w:r w:rsidR="000E77BC">
          <w:rPr>
            <w:webHidden/>
          </w:rPr>
          <w:fldChar w:fldCharType="separate"/>
        </w:r>
        <w:r w:rsidR="000E77BC">
          <w:rPr>
            <w:webHidden/>
          </w:rPr>
          <w:t>6</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6" w:history="1">
        <w:r w:rsidR="000E77BC" w:rsidRPr="00EF69AA">
          <w:rPr>
            <w:rStyle w:val="Hyperlink"/>
          </w:rPr>
          <w:t>Previous reporting</w:t>
        </w:r>
        <w:r w:rsidR="000E77BC">
          <w:rPr>
            <w:webHidden/>
          </w:rPr>
          <w:tab/>
        </w:r>
        <w:r w:rsidR="000E77BC">
          <w:rPr>
            <w:webHidden/>
          </w:rPr>
          <w:fldChar w:fldCharType="begin"/>
        </w:r>
        <w:r w:rsidR="000E77BC">
          <w:rPr>
            <w:webHidden/>
          </w:rPr>
          <w:instrText xml:space="preserve"> PAGEREF _Toc467133516 \h </w:instrText>
        </w:r>
        <w:r w:rsidR="000E77BC">
          <w:rPr>
            <w:webHidden/>
          </w:rPr>
        </w:r>
        <w:r w:rsidR="000E77BC">
          <w:rPr>
            <w:webHidden/>
          </w:rPr>
          <w:fldChar w:fldCharType="separate"/>
        </w:r>
        <w:r w:rsidR="000E77BC">
          <w:rPr>
            <w:webHidden/>
          </w:rPr>
          <w:t>6</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7" w:history="1">
        <w:r w:rsidR="000E77BC" w:rsidRPr="00EF69AA">
          <w:rPr>
            <w:rStyle w:val="Hyperlink"/>
          </w:rPr>
          <w:t>Data limitations</w:t>
        </w:r>
        <w:r w:rsidR="000E77BC">
          <w:rPr>
            <w:webHidden/>
          </w:rPr>
          <w:tab/>
        </w:r>
        <w:r w:rsidR="000E77BC">
          <w:rPr>
            <w:webHidden/>
          </w:rPr>
          <w:fldChar w:fldCharType="begin"/>
        </w:r>
        <w:r w:rsidR="000E77BC">
          <w:rPr>
            <w:webHidden/>
          </w:rPr>
          <w:instrText xml:space="preserve"> PAGEREF _Toc467133517 \h </w:instrText>
        </w:r>
        <w:r w:rsidR="000E77BC">
          <w:rPr>
            <w:webHidden/>
          </w:rPr>
        </w:r>
        <w:r w:rsidR="000E77BC">
          <w:rPr>
            <w:webHidden/>
          </w:rPr>
          <w:fldChar w:fldCharType="separate"/>
        </w:r>
        <w:r w:rsidR="000E77BC">
          <w:rPr>
            <w:webHidden/>
          </w:rPr>
          <w:t>7</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18" w:history="1">
        <w:r w:rsidR="000E77BC" w:rsidRPr="00EF69AA">
          <w:rPr>
            <w:rStyle w:val="Hyperlink"/>
          </w:rPr>
          <w:t>Report structure</w:t>
        </w:r>
        <w:r w:rsidR="000E77BC">
          <w:rPr>
            <w:webHidden/>
          </w:rPr>
          <w:tab/>
        </w:r>
        <w:r w:rsidR="000E77BC">
          <w:rPr>
            <w:webHidden/>
          </w:rPr>
          <w:fldChar w:fldCharType="begin"/>
        </w:r>
        <w:r w:rsidR="000E77BC">
          <w:rPr>
            <w:webHidden/>
          </w:rPr>
          <w:instrText xml:space="preserve"> PAGEREF _Toc467133518 \h </w:instrText>
        </w:r>
        <w:r w:rsidR="000E77BC">
          <w:rPr>
            <w:webHidden/>
          </w:rPr>
        </w:r>
        <w:r w:rsidR="000E77BC">
          <w:rPr>
            <w:webHidden/>
          </w:rPr>
          <w:fldChar w:fldCharType="separate"/>
        </w:r>
        <w:r w:rsidR="000E77BC">
          <w:rPr>
            <w:webHidden/>
          </w:rPr>
          <w:t>8</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19" w:history="1">
        <w:r w:rsidR="000E77BC" w:rsidRPr="00EF69AA">
          <w:rPr>
            <w:rStyle w:val="Hyperlink"/>
          </w:rPr>
          <w:t>1</w:t>
        </w:r>
        <w:r w:rsidR="000E77BC">
          <w:rPr>
            <w:rFonts w:asciiTheme="minorHAnsi" w:eastAsiaTheme="minorEastAsia" w:hAnsiTheme="minorHAnsi" w:cstheme="minorBidi"/>
            <w:b w:val="0"/>
            <w:sz w:val="22"/>
            <w:szCs w:val="22"/>
            <w:lang w:eastAsia="en-AU"/>
          </w:rPr>
          <w:tab/>
        </w:r>
        <w:r w:rsidR="000E77BC" w:rsidRPr="00EF69AA">
          <w:rPr>
            <w:rStyle w:val="Hyperlink"/>
          </w:rPr>
          <w:t>Program costs</w:t>
        </w:r>
        <w:r w:rsidR="000E77BC">
          <w:rPr>
            <w:webHidden/>
          </w:rPr>
          <w:tab/>
        </w:r>
        <w:r w:rsidR="000E77BC">
          <w:rPr>
            <w:webHidden/>
          </w:rPr>
          <w:fldChar w:fldCharType="begin"/>
        </w:r>
        <w:r w:rsidR="000E77BC">
          <w:rPr>
            <w:webHidden/>
          </w:rPr>
          <w:instrText xml:space="preserve"> PAGEREF _Toc467133519 \h </w:instrText>
        </w:r>
        <w:r w:rsidR="000E77BC">
          <w:rPr>
            <w:webHidden/>
          </w:rPr>
        </w:r>
        <w:r w:rsidR="000E77BC">
          <w:rPr>
            <w:webHidden/>
          </w:rPr>
          <w:fldChar w:fldCharType="separate"/>
        </w:r>
        <w:r w:rsidR="000E77BC">
          <w:rPr>
            <w:webHidden/>
          </w:rPr>
          <w:t>9</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20" w:history="1">
        <w:r w:rsidR="000E77BC" w:rsidRPr="00EF69AA">
          <w:rPr>
            <w:rStyle w:val="Hyperlink"/>
          </w:rPr>
          <w:t>2</w:t>
        </w:r>
        <w:r w:rsidR="000E77BC">
          <w:rPr>
            <w:rFonts w:asciiTheme="minorHAnsi" w:eastAsiaTheme="minorEastAsia" w:hAnsiTheme="minorHAnsi" w:cstheme="minorBidi"/>
            <w:b w:val="0"/>
            <w:sz w:val="22"/>
            <w:szCs w:val="22"/>
            <w:lang w:eastAsia="en-AU"/>
          </w:rPr>
          <w:tab/>
        </w:r>
        <w:r w:rsidR="000E77BC" w:rsidRPr="00EF69AA">
          <w:rPr>
            <w:rStyle w:val="Hyperlink"/>
          </w:rPr>
          <w:t>Individual and community outcomes</w:t>
        </w:r>
        <w:r w:rsidR="000E77BC">
          <w:rPr>
            <w:webHidden/>
          </w:rPr>
          <w:tab/>
        </w:r>
        <w:r w:rsidR="000E77BC">
          <w:rPr>
            <w:webHidden/>
          </w:rPr>
          <w:fldChar w:fldCharType="begin"/>
        </w:r>
        <w:r w:rsidR="000E77BC">
          <w:rPr>
            <w:webHidden/>
          </w:rPr>
          <w:instrText xml:space="preserve"> PAGEREF _Toc467133520 \h </w:instrText>
        </w:r>
        <w:r w:rsidR="000E77BC">
          <w:rPr>
            <w:webHidden/>
          </w:rPr>
        </w:r>
        <w:r w:rsidR="000E77BC">
          <w:rPr>
            <w:webHidden/>
          </w:rPr>
          <w:fldChar w:fldCharType="separate"/>
        </w:r>
        <w:r w:rsidR="000E77BC">
          <w:rPr>
            <w:webHidden/>
          </w:rPr>
          <w:t>10</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1" w:history="1">
        <w:r w:rsidR="000E77BC" w:rsidRPr="00EF69AA">
          <w:rPr>
            <w:rStyle w:val="Hyperlink"/>
          </w:rPr>
          <w:t>2.1</w:t>
        </w:r>
        <w:r w:rsidR="000E77BC">
          <w:rPr>
            <w:rFonts w:asciiTheme="minorHAnsi" w:eastAsiaTheme="minorEastAsia" w:hAnsiTheme="minorHAnsi" w:cstheme="minorBidi"/>
            <w:sz w:val="22"/>
            <w:szCs w:val="22"/>
            <w:lang w:eastAsia="en-AU"/>
          </w:rPr>
          <w:tab/>
        </w:r>
        <w:r w:rsidR="000E77BC" w:rsidRPr="00EF69AA">
          <w:rPr>
            <w:rStyle w:val="Hyperlink"/>
          </w:rPr>
          <w:t>Individual outcomes</w:t>
        </w:r>
        <w:r w:rsidR="000E77BC">
          <w:rPr>
            <w:webHidden/>
          </w:rPr>
          <w:tab/>
        </w:r>
        <w:r w:rsidR="000E77BC">
          <w:rPr>
            <w:webHidden/>
          </w:rPr>
          <w:fldChar w:fldCharType="begin"/>
        </w:r>
        <w:r w:rsidR="000E77BC">
          <w:rPr>
            <w:webHidden/>
          </w:rPr>
          <w:instrText xml:space="preserve"> PAGEREF _Toc467133521 \h </w:instrText>
        </w:r>
        <w:r w:rsidR="000E77BC">
          <w:rPr>
            <w:webHidden/>
          </w:rPr>
        </w:r>
        <w:r w:rsidR="000E77BC">
          <w:rPr>
            <w:webHidden/>
          </w:rPr>
          <w:fldChar w:fldCharType="separate"/>
        </w:r>
        <w:r w:rsidR="000E77BC">
          <w:rPr>
            <w:webHidden/>
          </w:rPr>
          <w:t>11</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2" w:history="1">
        <w:r w:rsidR="000E77BC" w:rsidRPr="00EF69AA">
          <w:rPr>
            <w:rStyle w:val="Hyperlink"/>
          </w:rPr>
          <w:t>2.2</w:t>
        </w:r>
        <w:r w:rsidR="000E77BC">
          <w:rPr>
            <w:rFonts w:asciiTheme="minorHAnsi" w:eastAsiaTheme="minorEastAsia" w:hAnsiTheme="minorHAnsi" w:cstheme="minorBidi"/>
            <w:sz w:val="22"/>
            <w:szCs w:val="22"/>
            <w:lang w:eastAsia="en-AU"/>
          </w:rPr>
          <w:tab/>
        </w:r>
        <w:r w:rsidR="000E77BC" w:rsidRPr="00EF69AA">
          <w:rPr>
            <w:rStyle w:val="Hyperlink"/>
          </w:rPr>
          <w:t>Community outcomes</w:t>
        </w:r>
        <w:r w:rsidR="000E77BC">
          <w:rPr>
            <w:webHidden/>
          </w:rPr>
          <w:tab/>
        </w:r>
        <w:r w:rsidR="000E77BC">
          <w:rPr>
            <w:webHidden/>
          </w:rPr>
          <w:fldChar w:fldCharType="begin"/>
        </w:r>
        <w:r w:rsidR="000E77BC">
          <w:rPr>
            <w:webHidden/>
          </w:rPr>
          <w:instrText xml:space="preserve"> PAGEREF _Toc467133522 \h </w:instrText>
        </w:r>
        <w:r w:rsidR="000E77BC">
          <w:rPr>
            <w:webHidden/>
          </w:rPr>
        </w:r>
        <w:r w:rsidR="000E77BC">
          <w:rPr>
            <w:webHidden/>
          </w:rPr>
          <w:fldChar w:fldCharType="separate"/>
        </w:r>
        <w:r w:rsidR="000E77BC">
          <w:rPr>
            <w:webHidden/>
          </w:rPr>
          <w:t>12</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23" w:history="1">
        <w:r w:rsidR="000E77BC" w:rsidRPr="00EF69AA">
          <w:rPr>
            <w:rStyle w:val="Hyperlink"/>
          </w:rPr>
          <w:t>3</w:t>
        </w:r>
        <w:r w:rsidR="000E77BC">
          <w:rPr>
            <w:rFonts w:asciiTheme="minorHAnsi" w:eastAsiaTheme="minorEastAsia" w:hAnsiTheme="minorHAnsi" w:cstheme="minorBidi"/>
            <w:b w:val="0"/>
            <w:sz w:val="22"/>
            <w:szCs w:val="22"/>
            <w:lang w:eastAsia="en-AU"/>
          </w:rPr>
          <w:tab/>
        </w:r>
        <w:r w:rsidR="000E77BC" w:rsidRPr="00EF69AA">
          <w:rPr>
            <w:rStyle w:val="Hyperlink"/>
          </w:rPr>
          <w:t>Benefits</w:t>
        </w:r>
        <w:r w:rsidR="000E77BC">
          <w:rPr>
            <w:webHidden/>
          </w:rPr>
          <w:tab/>
        </w:r>
        <w:r w:rsidR="000E77BC">
          <w:rPr>
            <w:webHidden/>
          </w:rPr>
          <w:fldChar w:fldCharType="begin"/>
        </w:r>
        <w:r w:rsidR="000E77BC">
          <w:rPr>
            <w:webHidden/>
          </w:rPr>
          <w:instrText xml:space="preserve"> PAGEREF _Toc467133523 \h </w:instrText>
        </w:r>
        <w:r w:rsidR="000E77BC">
          <w:rPr>
            <w:webHidden/>
          </w:rPr>
        </w:r>
        <w:r w:rsidR="000E77BC">
          <w:rPr>
            <w:webHidden/>
          </w:rPr>
          <w:fldChar w:fldCharType="separate"/>
        </w:r>
        <w:r w:rsidR="000E77BC">
          <w:rPr>
            <w:webHidden/>
          </w:rPr>
          <w:t>13</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4" w:history="1">
        <w:r w:rsidR="000E77BC" w:rsidRPr="00EF69AA">
          <w:rPr>
            <w:rStyle w:val="Hyperlink"/>
          </w:rPr>
          <w:t>3.1</w:t>
        </w:r>
        <w:r w:rsidR="000E77BC">
          <w:rPr>
            <w:rFonts w:asciiTheme="minorHAnsi" w:eastAsiaTheme="minorEastAsia" w:hAnsiTheme="minorHAnsi" w:cstheme="minorBidi"/>
            <w:sz w:val="22"/>
            <w:szCs w:val="22"/>
            <w:lang w:eastAsia="en-AU"/>
          </w:rPr>
          <w:tab/>
        </w:r>
        <w:r w:rsidR="000E77BC" w:rsidRPr="00EF69AA">
          <w:rPr>
            <w:rStyle w:val="Hyperlink"/>
          </w:rPr>
          <w:t>Attributing benefits to outcomes</w:t>
        </w:r>
        <w:r w:rsidR="000E77BC">
          <w:rPr>
            <w:webHidden/>
          </w:rPr>
          <w:tab/>
        </w:r>
        <w:r w:rsidR="000E77BC">
          <w:rPr>
            <w:webHidden/>
          </w:rPr>
          <w:fldChar w:fldCharType="begin"/>
        </w:r>
        <w:r w:rsidR="000E77BC">
          <w:rPr>
            <w:webHidden/>
          </w:rPr>
          <w:instrText xml:space="preserve"> PAGEREF _Toc467133524 \h </w:instrText>
        </w:r>
        <w:r w:rsidR="000E77BC">
          <w:rPr>
            <w:webHidden/>
          </w:rPr>
        </w:r>
        <w:r w:rsidR="000E77BC">
          <w:rPr>
            <w:webHidden/>
          </w:rPr>
          <w:fldChar w:fldCharType="separate"/>
        </w:r>
        <w:r w:rsidR="000E77BC">
          <w:rPr>
            <w:webHidden/>
          </w:rPr>
          <w:t>14</w:t>
        </w:r>
        <w:r w:rsidR="000E77BC">
          <w:rPr>
            <w:webHidden/>
          </w:rPr>
          <w:fldChar w:fldCharType="end"/>
        </w:r>
      </w:hyperlink>
    </w:p>
    <w:p w:rsidR="000E77BC" w:rsidRDefault="00101D10">
      <w:pPr>
        <w:pStyle w:val="TOC3"/>
        <w:tabs>
          <w:tab w:val="right" w:leader="dot" w:pos="9345"/>
        </w:tabs>
        <w:rPr>
          <w:rFonts w:asciiTheme="minorHAnsi" w:eastAsiaTheme="minorEastAsia" w:hAnsiTheme="minorHAnsi" w:cstheme="minorBidi"/>
          <w:noProof/>
          <w:sz w:val="22"/>
          <w:szCs w:val="22"/>
          <w:lang w:eastAsia="en-AU"/>
        </w:rPr>
      </w:pPr>
      <w:hyperlink w:anchor="_Toc467133525" w:history="1">
        <w:r w:rsidR="000E77BC" w:rsidRPr="00EF69AA">
          <w:rPr>
            <w:rStyle w:val="Hyperlink"/>
            <w:noProof/>
          </w:rPr>
          <w:t>3.1.1</w:t>
        </w:r>
        <w:r w:rsidR="000E77BC">
          <w:rPr>
            <w:rFonts w:asciiTheme="minorHAnsi" w:eastAsiaTheme="minorEastAsia" w:hAnsiTheme="minorHAnsi" w:cstheme="minorBidi"/>
            <w:noProof/>
            <w:sz w:val="22"/>
            <w:szCs w:val="22"/>
            <w:lang w:eastAsia="en-AU"/>
          </w:rPr>
          <w:tab/>
        </w:r>
        <w:r w:rsidR="000E77BC" w:rsidRPr="00EF69AA">
          <w:rPr>
            <w:rStyle w:val="Hyperlink"/>
            <w:noProof/>
          </w:rPr>
          <w:t>Values assigned to benefits</w:t>
        </w:r>
        <w:r w:rsidR="000E77BC">
          <w:rPr>
            <w:noProof/>
            <w:webHidden/>
          </w:rPr>
          <w:tab/>
        </w:r>
        <w:r w:rsidR="000E77BC">
          <w:rPr>
            <w:noProof/>
            <w:webHidden/>
          </w:rPr>
          <w:fldChar w:fldCharType="begin"/>
        </w:r>
        <w:r w:rsidR="000E77BC">
          <w:rPr>
            <w:noProof/>
            <w:webHidden/>
          </w:rPr>
          <w:instrText xml:space="preserve"> PAGEREF _Toc467133525 \h </w:instrText>
        </w:r>
        <w:r w:rsidR="000E77BC">
          <w:rPr>
            <w:noProof/>
            <w:webHidden/>
          </w:rPr>
        </w:r>
        <w:r w:rsidR="000E77BC">
          <w:rPr>
            <w:noProof/>
            <w:webHidden/>
          </w:rPr>
          <w:fldChar w:fldCharType="separate"/>
        </w:r>
        <w:r w:rsidR="000E77BC">
          <w:rPr>
            <w:noProof/>
            <w:webHidden/>
          </w:rPr>
          <w:t>14</w:t>
        </w:r>
        <w:r w:rsidR="000E77BC">
          <w:rPr>
            <w:noProof/>
            <w:webHidden/>
          </w:rPr>
          <w:fldChar w:fldCharType="end"/>
        </w:r>
      </w:hyperlink>
    </w:p>
    <w:p w:rsidR="000E77BC" w:rsidRDefault="00101D10">
      <w:pPr>
        <w:pStyle w:val="TOC3"/>
        <w:tabs>
          <w:tab w:val="right" w:leader="dot" w:pos="9345"/>
        </w:tabs>
        <w:rPr>
          <w:rFonts w:asciiTheme="minorHAnsi" w:eastAsiaTheme="minorEastAsia" w:hAnsiTheme="minorHAnsi" w:cstheme="minorBidi"/>
          <w:noProof/>
          <w:sz w:val="22"/>
          <w:szCs w:val="22"/>
          <w:lang w:eastAsia="en-AU"/>
        </w:rPr>
      </w:pPr>
      <w:hyperlink w:anchor="_Toc467133526" w:history="1">
        <w:r w:rsidR="000E77BC" w:rsidRPr="00EF69AA">
          <w:rPr>
            <w:rStyle w:val="Hyperlink"/>
            <w:noProof/>
          </w:rPr>
          <w:t>3.1.2</w:t>
        </w:r>
        <w:r w:rsidR="000E77BC">
          <w:rPr>
            <w:rFonts w:asciiTheme="minorHAnsi" w:eastAsiaTheme="minorEastAsia" w:hAnsiTheme="minorHAnsi" w:cstheme="minorBidi"/>
            <w:noProof/>
            <w:sz w:val="22"/>
            <w:szCs w:val="22"/>
            <w:lang w:eastAsia="en-AU"/>
          </w:rPr>
          <w:tab/>
        </w:r>
        <w:r w:rsidR="000E77BC" w:rsidRPr="00EF69AA">
          <w:rPr>
            <w:rStyle w:val="Hyperlink"/>
            <w:noProof/>
          </w:rPr>
          <w:t>Attribution rates</w:t>
        </w:r>
        <w:r w:rsidR="000E77BC">
          <w:rPr>
            <w:noProof/>
            <w:webHidden/>
          </w:rPr>
          <w:tab/>
        </w:r>
        <w:r w:rsidR="000E77BC">
          <w:rPr>
            <w:noProof/>
            <w:webHidden/>
          </w:rPr>
          <w:fldChar w:fldCharType="begin"/>
        </w:r>
        <w:r w:rsidR="000E77BC">
          <w:rPr>
            <w:noProof/>
            <w:webHidden/>
          </w:rPr>
          <w:instrText xml:space="preserve"> PAGEREF _Toc467133526 \h </w:instrText>
        </w:r>
        <w:r w:rsidR="000E77BC">
          <w:rPr>
            <w:noProof/>
            <w:webHidden/>
          </w:rPr>
        </w:r>
        <w:r w:rsidR="000E77BC">
          <w:rPr>
            <w:noProof/>
            <w:webHidden/>
          </w:rPr>
          <w:fldChar w:fldCharType="separate"/>
        </w:r>
        <w:r w:rsidR="000E77BC">
          <w:rPr>
            <w:noProof/>
            <w:webHidden/>
          </w:rPr>
          <w:t>16</w:t>
        </w:r>
        <w:r w:rsidR="000E77BC">
          <w:rPr>
            <w:noProof/>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7" w:history="1">
        <w:r w:rsidR="000E77BC" w:rsidRPr="00EF69AA">
          <w:rPr>
            <w:rStyle w:val="Hyperlink"/>
          </w:rPr>
          <w:t>3.2</w:t>
        </w:r>
        <w:r w:rsidR="000E77BC">
          <w:rPr>
            <w:rFonts w:asciiTheme="minorHAnsi" w:eastAsiaTheme="minorEastAsia" w:hAnsiTheme="minorHAnsi" w:cstheme="minorBidi"/>
            <w:sz w:val="22"/>
            <w:szCs w:val="22"/>
            <w:lang w:eastAsia="en-AU"/>
          </w:rPr>
          <w:tab/>
        </w:r>
        <w:r w:rsidR="000E77BC" w:rsidRPr="00EF69AA">
          <w:rPr>
            <w:rStyle w:val="Hyperlink"/>
          </w:rPr>
          <w:t>Economic benefits</w:t>
        </w:r>
        <w:r w:rsidR="000E77BC">
          <w:rPr>
            <w:webHidden/>
          </w:rPr>
          <w:tab/>
        </w:r>
        <w:r w:rsidR="000E77BC">
          <w:rPr>
            <w:webHidden/>
          </w:rPr>
          <w:fldChar w:fldCharType="begin"/>
        </w:r>
        <w:r w:rsidR="000E77BC">
          <w:rPr>
            <w:webHidden/>
          </w:rPr>
          <w:instrText xml:space="preserve"> PAGEREF _Toc467133527 \h </w:instrText>
        </w:r>
        <w:r w:rsidR="000E77BC">
          <w:rPr>
            <w:webHidden/>
          </w:rPr>
        </w:r>
        <w:r w:rsidR="000E77BC">
          <w:rPr>
            <w:webHidden/>
          </w:rPr>
          <w:fldChar w:fldCharType="separate"/>
        </w:r>
        <w:r w:rsidR="000E77BC">
          <w:rPr>
            <w:webHidden/>
          </w:rPr>
          <w:t>17</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8" w:history="1">
        <w:r w:rsidR="000E77BC" w:rsidRPr="00EF69AA">
          <w:rPr>
            <w:rStyle w:val="Hyperlink"/>
          </w:rPr>
          <w:t>3.3</w:t>
        </w:r>
        <w:r w:rsidR="000E77BC">
          <w:rPr>
            <w:rFonts w:asciiTheme="minorHAnsi" w:eastAsiaTheme="minorEastAsia" w:hAnsiTheme="minorHAnsi" w:cstheme="minorBidi"/>
            <w:sz w:val="22"/>
            <w:szCs w:val="22"/>
            <w:lang w:eastAsia="en-AU"/>
          </w:rPr>
          <w:tab/>
        </w:r>
        <w:r w:rsidR="000E77BC" w:rsidRPr="00EF69AA">
          <w:rPr>
            <w:rStyle w:val="Hyperlink"/>
          </w:rPr>
          <w:t>Social benefits</w:t>
        </w:r>
        <w:r w:rsidR="000E77BC">
          <w:rPr>
            <w:webHidden/>
          </w:rPr>
          <w:tab/>
        </w:r>
        <w:r w:rsidR="000E77BC">
          <w:rPr>
            <w:webHidden/>
          </w:rPr>
          <w:fldChar w:fldCharType="begin"/>
        </w:r>
        <w:r w:rsidR="000E77BC">
          <w:rPr>
            <w:webHidden/>
          </w:rPr>
          <w:instrText xml:space="preserve"> PAGEREF _Toc467133528 \h </w:instrText>
        </w:r>
        <w:r w:rsidR="000E77BC">
          <w:rPr>
            <w:webHidden/>
          </w:rPr>
        </w:r>
        <w:r w:rsidR="000E77BC">
          <w:rPr>
            <w:webHidden/>
          </w:rPr>
          <w:fldChar w:fldCharType="separate"/>
        </w:r>
        <w:r w:rsidR="000E77BC">
          <w:rPr>
            <w:webHidden/>
          </w:rPr>
          <w:t>17</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29" w:history="1">
        <w:r w:rsidR="000E77BC" w:rsidRPr="00EF69AA">
          <w:rPr>
            <w:rStyle w:val="Hyperlink"/>
          </w:rPr>
          <w:t>3.4</w:t>
        </w:r>
        <w:r w:rsidR="000E77BC">
          <w:rPr>
            <w:rFonts w:asciiTheme="minorHAnsi" w:eastAsiaTheme="minorEastAsia" w:hAnsiTheme="minorHAnsi" w:cstheme="minorBidi"/>
            <w:sz w:val="22"/>
            <w:szCs w:val="22"/>
            <w:lang w:eastAsia="en-AU"/>
          </w:rPr>
          <w:tab/>
        </w:r>
        <w:r w:rsidR="000E77BC" w:rsidRPr="00EF69AA">
          <w:rPr>
            <w:rStyle w:val="Hyperlink"/>
          </w:rPr>
          <w:t>Community benefits</w:t>
        </w:r>
        <w:r w:rsidR="000E77BC">
          <w:rPr>
            <w:webHidden/>
          </w:rPr>
          <w:tab/>
        </w:r>
        <w:r w:rsidR="000E77BC">
          <w:rPr>
            <w:webHidden/>
          </w:rPr>
          <w:fldChar w:fldCharType="begin"/>
        </w:r>
        <w:r w:rsidR="000E77BC">
          <w:rPr>
            <w:webHidden/>
          </w:rPr>
          <w:instrText xml:space="preserve"> PAGEREF _Toc467133529 \h </w:instrText>
        </w:r>
        <w:r w:rsidR="000E77BC">
          <w:rPr>
            <w:webHidden/>
          </w:rPr>
        </w:r>
        <w:r w:rsidR="000E77BC">
          <w:rPr>
            <w:webHidden/>
          </w:rPr>
          <w:fldChar w:fldCharType="separate"/>
        </w:r>
        <w:r w:rsidR="000E77BC">
          <w:rPr>
            <w:webHidden/>
          </w:rPr>
          <w:t>18</w:t>
        </w:r>
        <w:r w:rsidR="000E77BC">
          <w:rPr>
            <w:webHidden/>
          </w:rPr>
          <w:fldChar w:fldCharType="end"/>
        </w:r>
      </w:hyperlink>
    </w:p>
    <w:p w:rsidR="000E77BC" w:rsidRDefault="00101D10">
      <w:pPr>
        <w:pStyle w:val="TOC3"/>
        <w:tabs>
          <w:tab w:val="right" w:leader="dot" w:pos="9345"/>
        </w:tabs>
        <w:rPr>
          <w:rFonts w:asciiTheme="minorHAnsi" w:eastAsiaTheme="minorEastAsia" w:hAnsiTheme="minorHAnsi" w:cstheme="minorBidi"/>
          <w:noProof/>
          <w:sz w:val="22"/>
          <w:szCs w:val="22"/>
          <w:lang w:eastAsia="en-AU"/>
        </w:rPr>
      </w:pPr>
      <w:hyperlink w:anchor="_Toc467133530" w:history="1">
        <w:r w:rsidR="000E77BC" w:rsidRPr="00EF69AA">
          <w:rPr>
            <w:rStyle w:val="Hyperlink"/>
            <w:noProof/>
          </w:rPr>
          <w:t>3.4.1</w:t>
        </w:r>
        <w:r w:rsidR="000E77BC">
          <w:rPr>
            <w:rFonts w:asciiTheme="minorHAnsi" w:eastAsiaTheme="minorEastAsia" w:hAnsiTheme="minorHAnsi" w:cstheme="minorBidi"/>
            <w:noProof/>
            <w:sz w:val="22"/>
            <w:szCs w:val="22"/>
            <w:lang w:eastAsia="en-AU"/>
          </w:rPr>
          <w:tab/>
        </w:r>
        <w:r w:rsidR="000E77BC" w:rsidRPr="00EF69AA">
          <w:rPr>
            <w:rStyle w:val="Hyperlink"/>
            <w:noProof/>
          </w:rPr>
          <w:t>Physical</w:t>
        </w:r>
        <w:r w:rsidR="000E77BC">
          <w:rPr>
            <w:noProof/>
            <w:webHidden/>
          </w:rPr>
          <w:tab/>
        </w:r>
        <w:r w:rsidR="000E77BC">
          <w:rPr>
            <w:noProof/>
            <w:webHidden/>
          </w:rPr>
          <w:fldChar w:fldCharType="begin"/>
        </w:r>
        <w:r w:rsidR="000E77BC">
          <w:rPr>
            <w:noProof/>
            <w:webHidden/>
          </w:rPr>
          <w:instrText xml:space="preserve"> PAGEREF _Toc467133530 \h </w:instrText>
        </w:r>
        <w:r w:rsidR="000E77BC">
          <w:rPr>
            <w:noProof/>
            <w:webHidden/>
          </w:rPr>
        </w:r>
        <w:r w:rsidR="000E77BC">
          <w:rPr>
            <w:noProof/>
            <w:webHidden/>
          </w:rPr>
          <w:fldChar w:fldCharType="separate"/>
        </w:r>
        <w:r w:rsidR="000E77BC">
          <w:rPr>
            <w:noProof/>
            <w:webHidden/>
          </w:rPr>
          <w:t>19</w:t>
        </w:r>
        <w:r w:rsidR="000E77BC">
          <w:rPr>
            <w:noProof/>
            <w:webHidden/>
          </w:rPr>
          <w:fldChar w:fldCharType="end"/>
        </w:r>
      </w:hyperlink>
    </w:p>
    <w:p w:rsidR="000E77BC" w:rsidRDefault="00101D10">
      <w:pPr>
        <w:pStyle w:val="TOC3"/>
        <w:tabs>
          <w:tab w:val="right" w:leader="dot" w:pos="9345"/>
        </w:tabs>
        <w:rPr>
          <w:rFonts w:asciiTheme="minorHAnsi" w:eastAsiaTheme="minorEastAsia" w:hAnsiTheme="minorHAnsi" w:cstheme="minorBidi"/>
          <w:noProof/>
          <w:sz w:val="22"/>
          <w:szCs w:val="22"/>
          <w:lang w:eastAsia="en-AU"/>
        </w:rPr>
      </w:pPr>
      <w:hyperlink w:anchor="_Toc467133531" w:history="1">
        <w:r w:rsidR="000E77BC" w:rsidRPr="00EF69AA">
          <w:rPr>
            <w:rStyle w:val="Hyperlink"/>
            <w:noProof/>
          </w:rPr>
          <w:t>3.4.2</w:t>
        </w:r>
        <w:r w:rsidR="000E77BC">
          <w:rPr>
            <w:rFonts w:asciiTheme="minorHAnsi" w:eastAsiaTheme="minorEastAsia" w:hAnsiTheme="minorHAnsi" w:cstheme="minorBidi"/>
            <w:noProof/>
            <w:sz w:val="22"/>
            <w:szCs w:val="22"/>
            <w:lang w:eastAsia="en-AU"/>
          </w:rPr>
          <w:tab/>
        </w:r>
        <w:r w:rsidR="000E77BC" w:rsidRPr="00EF69AA">
          <w:rPr>
            <w:rStyle w:val="Hyperlink"/>
            <w:noProof/>
          </w:rPr>
          <w:t>Business</w:t>
        </w:r>
        <w:r w:rsidR="000E77BC">
          <w:rPr>
            <w:noProof/>
            <w:webHidden/>
          </w:rPr>
          <w:tab/>
        </w:r>
        <w:r w:rsidR="000E77BC">
          <w:rPr>
            <w:noProof/>
            <w:webHidden/>
          </w:rPr>
          <w:fldChar w:fldCharType="begin"/>
        </w:r>
        <w:r w:rsidR="000E77BC">
          <w:rPr>
            <w:noProof/>
            <w:webHidden/>
          </w:rPr>
          <w:instrText xml:space="preserve"> PAGEREF _Toc467133531 \h </w:instrText>
        </w:r>
        <w:r w:rsidR="000E77BC">
          <w:rPr>
            <w:noProof/>
            <w:webHidden/>
          </w:rPr>
        </w:r>
        <w:r w:rsidR="000E77BC">
          <w:rPr>
            <w:noProof/>
            <w:webHidden/>
          </w:rPr>
          <w:fldChar w:fldCharType="separate"/>
        </w:r>
        <w:r w:rsidR="000E77BC">
          <w:rPr>
            <w:noProof/>
            <w:webHidden/>
          </w:rPr>
          <w:t>19</w:t>
        </w:r>
        <w:r w:rsidR="000E77BC">
          <w:rPr>
            <w:noProof/>
            <w:webHidden/>
          </w:rPr>
          <w:fldChar w:fldCharType="end"/>
        </w:r>
      </w:hyperlink>
    </w:p>
    <w:p w:rsidR="000E77BC" w:rsidRDefault="00101D10">
      <w:pPr>
        <w:pStyle w:val="TOC3"/>
        <w:tabs>
          <w:tab w:val="right" w:leader="dot" w:pos="9345"/>
        </w:tabs>
        <w:rPr>
          <w:rFonts w:asciiTheme="minorHAnsi" w:eastAsiaTheme="minorEastAsia" w:hAnsiTheme="minorHAnsi" w:cstheme="minorBidi"/>
          <w:noProof/>
          <w:sz w:val="22"/>
          <w:szCs w:val="22"/>
          <w:lang w:eastAsia="en-AU"/>
        </w:rPr>
      </w:pPr>
      <w:hyperlink w:anchor="_Toc467133532" w:history="1">
        <w:r w:rsidR="000E77BC" w:rsidRPr="00EF69AA">
          <w:rPr>
            <w:rStyle w:val="Hyperlink"/>
            <w:noProof/>
          </w:rPr>
          <w:t>3.4.3</w:t>
        </w:r>
        <w:r w:rsidR="000E77BC">
          <w:rPr>
            <w:rFonts w:asciiTheme="minorHAnsi" w:eastAsiaTheme="minorEastAsia" w:hAnsiTheme="minorHAnsi" w:cstheme="minorBidi"/>
            <w:noProof/>
            <w:sz w:val="22"/>
            <w:szCs w:val="22"/>
            <w:lang w:eastAsia="en-AU"/>
          </w:rPr>
          <w:tab/>
        </w:r>
        <w:r w:rsidR="000E77BC" w:rsidRPr="00EF69AA">
          <w:rPr>
            <w:rStyle w:val="Hyperlink"/>
            <w:noProof/>
          </w:rPr>
          <w:t>Leadership</w:t>
        </w:r>
        <w:r w:rsidR="000E77BC">
          <w:rPr>
            <w:noProof/>
            <w:webHidden/>
          </w:rPr>
          <w:tab/>
        </w:r>
        <w:r w:rsidR="000E77BC">
          <w:rPr>
            <w:noProof/>
            <w:webHidden/>
          </w:rPr>
          <w:fldChar w:fldCharType="begin"/>
        </w:r>
        <w:r w:rsidR="000E77BC">
          <w:rPr>
            <w:noProof/>
            <w:webHidden/>
          </w:rPr>
          <w:instrText xml:space="preserve"> PAGEREF _Toc467133532 \h </w:instrText>
        </w:r>
        <w:r w:rsidR="000E77BC">
          <w:rPr>
            <w:noProof/>
            <w:webHidden/>
          </w:rPr>
        </w:r>
        <w:r w:rsidR="000E77BC">
          <w:rPr>
            <w:noProof/>
            <w:webHidden/>
          </w:rPr>
          <w:fldChar w:fldCharType="separate"/>
        </w:r>
        <w:r w:rsidR="000E77BC">
          <w:rPr>
            <w:noProof/>
            <w:webHidden/>
          </w:rPr>
          <w:t>20</w:t>
        </w:r>
        <w:r w:rsidR="000E77BC">
          <w:rPr>
            <w:noProof/>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33" w:history="1">
        <w:r w:rsidR="000E77BC" w:rsidRPr="00EF69AA">
          <w:rPr>
            <w:rStyle w:val="Hyperlink"/>
          </w:rPr>
          <w:t>4</w:t>
        </w:r>
        <w:r w:rsidR="000E77BC">
          <w:rPr>
            <w:rFonts w:asciiTheme="minorHAnsi" w:eastAsiaTheme="minorEastAsia" w:hAnsiTheme="minorHAnsi" w:cstheme="minorBidi"/>
            <w:b w:val="0"/>
            <w:sz w:val="22"/>
            <w:szCs w:val="22"/>
            <w:lang w:eastAsia="en-AU"/>
          </w:rPr>
          <w:tab/>
        </w:r>
        <w:r w:rsidR="000E77BC" w:rsidRPr="00EF69AA">
          <w:rPr>
            <w:rStyle w:val="Hyperlink"/>
          </w:rPr>
          <w:t>Cost benefit analysis</w:t>
        </w:r>
        <w:r w:rsidR="000E77BC">
          <w:rPr>
            <w:webHidden/>
          </w:rPr>
          <w:tab/>
        </w:r>
        <w:r w:rsidR="000E77BC">
          <w:rPr>
            <w:webHidden/>
          </w:rPr>
          <w:fldChar w:fldCharType="begin"/>
        </w:r>
        <w:r w:rsidR="000E77BC">
          <w:rPr>
            <w:webHidden/>
          </w:rPr>
          <w:instrText xml:space="preserve"> PAGEREF _Toc467133533 \h </w:instrText>
        </w:r>
        <w:r w:rsidR="000E77BC">
          <w:rPr>
            <w:webHidden/>
          </w:rPr>
        </w:r>
        <w:r w:rsidR="000E77BC">
          <w:rPr>
            <w:webHidden/>
          </w:rPr>
          <w:fldChar w:fldCharType="separate"/>
        </w:r>
        <w:r w:rsidR="000E77BC">
          <w:rPr>
            <w:webHidden/>
          </w:rPr>
          <w:t>21</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34" w:history="1">
        <w:r w:rsidR="000E77BC" w:rsidRPr="00EF69AA">
          <w:rPr>
            <w:rStyle w:val="Hyperlink"/>
          </w:rPr>
          <w:t>4.1</w:t>
        </w:r>
        <w:r w:rsidR="000E77BC">
          <w:rPr>
            <w:rFonts w:asciiTheme="minorHAnsi" w:eastAsiaTheme="minorEastAsia" w:hAnsiTheme="minorHAnsi" w:cstheme="minorBidi"/>
            <w:sz w:val="22"/>
            <w:szCs w:val="22"/>
            <w:lang w:eastAsia="en-AU"/>
          </w:rPr>
          <w:tab/>
        </w:r>
        <w:r w:rsidR="000E77BC" w:rsidRPr="00EF69AA">
          <w:rPr>
            <w:rStyle w:val="Hyperlink"/>
          </w:rPr>
          <w:t>All participants</w:t>
        </w:r>
        <w:r w:rsidR="000E77BC">
          <w:rPr>
            <w:webHidden/>
          </w:rPr>
          <w:tab/>
        </w:r>
        <w:r w:rsidR="000E77BC">
          <w:rPr>
            <w:webHidden/>
          </w:rPr>
          <w:fldChar w:fldCharType="begin"/>
        </w:r>
        <w:r w:rsidR="000E77BC">
          <w:rPr>
            <w:webHidden/>
          </w:rPr>
          <w:instrText xml:space="preserve"> PAGEREF _Toc467133534 \h </w:instrText>
        </w:r>
        <w:r w:rsidR="000E77BC">
          <w:rPr>
            <w:webHidden/>
          </w:rPr>
        </w:r>
        <w:r w:rsidR="000E77BC">
          <w:rPr>
            <w:webHidden/>
          </w:rPr>
          <w:fldChar w:fldCharType="separate"/>
        </w:r>
        <w:r w:rsidR="000E77BC">
          <w:rPr>
            <w:webHidden/>
          </w:rPr>
          <w:t>21</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35" w:history="1">
        <w:r w:rsidR="000E77BC" w:rsidRPr="00EF69AA">
          <w:rPr>
            <w:rStyle w:val="Hyperlink"/>
          </w:rPr>
          <w:t>4.2</w:t>
        </w:r>
        <w:r w:rsidR="000E77BC">
          <w:rPr>
            <w:rFonts w:asciiTheme="minorHAnsi" w:eastAsiaTheme="minorEastAsia" w:hAnsiTheme="minorHAnsi" w:cstheme="minorBidi"/>
            <w:sz w:val="22"/>
            <w:szCs w:val="22"/>
            <w:lang w:eastAsia="en-AU"/>
          </w:rPr>
          <w:tab/>
        </w:r>
        <w:r w:rsidR="000E77BC" w:rsidRPr="00EF69AA">
          <w:rPr>
            <w:rStyle w:val="Hyperlink"/>
          </w:rPr>
          <w:t>Aboriginal participants</w:t>
        </w:r>
        <w:r w:rsidR="000E77BC">
          <w:rPr>
            <w:webHidden/>
          </w:rPr>
          <w:tab/>
        </w:r>
        <w:r w:rsidR="000E77BC">
          <w:rPr>
            <w:webHidden/>
          </w:rPr>
          <w:fldChar w:fldCharType="begin"/>
        </w:r>
        <w:r w:rsidR="000E77BC">
          <w:rPr>
            <w:webHidden/>
          </w:rPr>
          <w:instrText xml:space="preserve"> PAGEREF _Toc467133535 \h </w:instrText>
        </w:r>
        <w:r w:rsidR="000E77BC">
          <w:rPr>
            <w:webHidden/>
          </w:rPr>
        </w:r>
        <w:r w:rsidR="000E77BC">
          <w:rPr>
            <w:webHidden/>
          </w:rPr>
          <w:fldChar w:fldCharType="separate"/>
        </w:r>
        <w:r w:rsidR="000E77BC">
          <w:rPr>
            <w:webHidden/>
          </w:rPr>
          <w:t>22</w:t>
        </w:r>
        <w:r w:rsidR="000E77BC">
          <w:rPr>
            <w:webHidden/>
          </w:rPr>
          <w:fldChar w:fldCharType="end"/>
        </w:r>
      </w:hyperlink>
    </w:p>
    <w:p w:rsidR="000E77BC" w:rsidRDefault="00101D10">
      <w:pPr>
        <w:pStyle w:val="TOC2"/>
        <w:tabs>
          <w:tab w:val="right" w:leader="dot" w:pos="9345"/>
        </w:tabs>
        <w:rPr>
          <w:rFonts w:asciiTheme="minorHAnsi" w:eastAsiaTheme="minorEastAsia" w:hAnsiTheme="minorHAnsi" w:cstheme="minorBidi"/>
          <w:sz w:val="22"/>
          <w:szCs w:val="22"/>
          <w:lang w:eastAsia="en-AU"/>
        </w:rPr>
      </w:pPr>
      <w:hyperlink w:anchor="_Toc467133536" w:history="1">
        <w:r w:rsidR="000E77BC" w:rsidRPr="00EF69AA">
          <w:rPr>
            <w:rStyle w:val="Hyperlink"/>
          </w:rPr>
          <w:t>4.3</w:t>
        </w:r>
        <w:r w:rsidR="000E77BC">
          <w:rPr>
            <w:rFonts w:asciiTheme="minorHAnsi" w:eastAsiaTheme="minorEastAsia" w:hAnsiTheme="minorHAnsi" w:cstheme="minorBidi"/>
            <w:sz w:val="22"/>
            <w:szCs w:val="22"/>
            <w:lang w:eastAsia="en-AU"/>
          </w:rPr>
          <w:tab/>
        </w:r>
        <w:r w:rsidR="000E77BC" w:rsidRPr="00EF69AA">
          <w:rPr>
            <w:rStyle w:val="Hyperlink"/>
          </w:rPr>
          <w:t>Conclusion</w:t>
        </w:r>
        <w:r w:rsidR="000E77BC">
          <w:rPr>
            <w:webHidden/>
          </w:rPr>
          <w:tab/>
        </w:r>
        <w:r w:rsidR="000E77BC">
          <w:rPr>
            <w:webHidden/>
          </w:rPr>
          <w:fldChar w:fldCharType="begin"/>
        </w:r>
        <w:r w:rsidR="000E77BC">
          <w:rPr>
            <w:webHidden/>
          </w:rPr>
          <w:instrText xml:space="preserve"> PAGEREF _Toc467133536 \h </w:instrText>
        </w:r>
        <w:r w:rsidR="000E77BC">
          <w:rPr>
            <w:webHidden/>
          </w:rPr>
        </w:r>
        <w:r w:rsidR="000E77BC">
          <w:rPr>
            <w:webHidden/>
          </w:rPr>
          <w:fldChar w:fldCharType="separate"/>
        </w:r>
        <w:r w:rsidR="000E77BC">
          <w:rPr>
            <w:webHidden/>
          </w:rPr>
          <w:t>23</w:t>
        </w:r>
        <w:r w:rsidR="000E77BC">
          <w:rPr>
            <w:webHidden/>
          </w:rPr>
          <w:fldChar w:fldCharType="end"/>
        </w:r>
      </w:hyperlink>
    </w:p>
    <w:p w:rsidR="000E77BC" w:rsidRDefault="00101D10">
      <w:pPr>
        <w:pStyle w:val="TOC1"/>
        <w:rPr>
          <w:rFonts w:asciiTheme="minorHAnsi" w:eastAsiaTheme="minorEastAsia" w:hAnsiTheme="minorHAnsi" w:cstheme="minorBidi"/>
          <w:b w:val="0"/>
          <w:sz w:val="22"/>
          <w:szCs w:val="22"/>
          <w:lang w:eastAsia="en-AU"/>
        </w:rPr>
      </w:pPr>
      <w:hyperlink w:anchor="_Toc467133537" w:history="1">
        <w:r w:rsidR="000E77BC" w:rsidRPr="00EF69AA">
          <w:rPr>
            <w:rStyle w:val="Hyperlink"/>
          </w:rPr>
          <w:t>Disclaimer</w:t>
        </w:r>
        <w:r w:rsidR="000E77BC">
          <w:rPr>
            <w:webHidden/>
          </w:rPr>
          <w:tab/>
        </w:r>
        <w:r w:rsidR="000E77BC">
          <w:rPr>
            <w:webHidden/>
          </w:rPr>
          <w:fldChar w:fldCharType="begin"/>
        </w:r>
        <w:r w:rsidR="000E77BC">
          <w:rPr>
            <w:webHidden/>
          </w:rPr>
          <w:instrText xml:space="preserve"> PAGEREF _Toc467133537 \h </w:instrText>
        </w:r>
        <w:r w:rsidR="000E77BC">
          <w:rPr>
            <w:webHidden/>
          </w:rPr>
        </w:r>
        <w:r w:rsidR="000E77BC">
          <w:rPr>
            <w:webHidden/>
          </w:rPr>
          <w:fldChar w:fldCharType="separate"/>
        </w:r>
        <w:r w:rsidR="000E77BC">
          <w:rPr>
            <w:webHidden/>
          </w:rPr>
          <w:t>24</w:t>
        </w:r>
        <w:r w:rsidR="000E77BC">
          <w:rPr>
            <w:webHidden/>
          </w:rPr>
          <w:fldChar w:fldCharType="end"/>
        </w:r>
      </w:hyperlink>
    </w:p>
    <w:p w:rsidR="000E77BC" w:rsidRDefault="00101D10">
      <w:pPr>
        <w:pStyle w:val="TOC1"/>
        <w:tabs>
          <w:tab w:val="left" w:pos="1540"/>
        </w:tabs>
        <w:rPr>
          <w:rFonts w:asciiTheme="minorHAnsi" w:eastAsiaTheme="minorEastAsia" w:hAnsiTheme="minorHAnsi" w:cstheme="minorBidi"/>
          <w:b w:val="0"/>
          <w:sz w:val="22"/>
          <w:szCs w:val="22"/>
          <w:lang w:eastAsia="en-AU"/>
        </w:rPr>
      </w:pPr>
      <w:hyperlink w:anchor="_Toc467133538" w:history="1">
        <w:r w:rsidR="000E77BC" w:rsidRPr="00EF69AA">
          <w:rPr>
            <w:rStyle w:val="Hyperlink"/>
          </w:rPr>
          <w:t>Appendix A</w:t>
        </w:r>
        <w:r w:rsidR="000E77BC">
          <w:rPr>
            <w:rFonts w:asciiTheme="minorHAnsi" w:eastAsiaTheme="minorEastAsia" w:hAnsiTheme="minorHAnsi" w:cstheme="minorBidi"/>
            <w:b w:val="0"/>
            <w:sz w:val="22"/>
            <w:szCs w:val="22"/>
            <w:lang w:eastAsia="en-AU"/>
          </w:rPr>
          <w:tab/>
        </w:r>
        <w:r w:rsidR="000E77BC" w:rsidRPr="00EF69AA">
          <w:rPr>
            <w:rStyle w:val="Hyperlink"/>
          </w:rPr>
          <w:t>Aboriginal Outcomes</w:t>
        </w:r>
        <w:r w:rsidR="000E77BC">
          <w:rPr>
            <w:webHidden/>
          </w:rPr>
          <w:tab/>
        </w:r>
        <w:r w:rsidR="000E77BC">
          <w:rPr>
            <w:webHidden/>
          </w:rPr>
          <w:fldChar w:fldCharType="begin"/>
        </w:r>
        <w:r w:rsidR="000E77BC">
          <w:rPr>
            <w:webHidden/>
          </w:rPr>
          <w:instrText xml:space="preserve"> PAGEREF _Toc467133538 \h </w:instrText>
        </w:r>
        <w:r w:rsidR="000E77BC">
          <w:rPr>
            <w:webHidden/>
          </w:rPr>
        </w:r>
        <w:r w:rsidR="000E77BC">
          <w:rPr>
            <w:webHidden/>
          </w:rPr>
          <w:fldChar w:fldCharType="separate"/>
        </w:r>
        <w:r w:rsidR="000E77BC">
          <w:rPr>
            <w:webHidden/>
          </w:rPr>
          <w:t>25</w:t>
        </w:r>
        <w:r w:rsidR="000E77BC">
          <w:rPr>
            <w:webHidden/>
          </w:rPr>
          <w:fldChar w:fldCharType="end"/>
        </w:r>
      </w:hyperlink>
    </w:p>
    <w:p w:rsidR="000E77BC" w:rsidRDefault="00101D10">
      <w:pPr>
        <w:pStyle w:val="TOC1"/>
        <w:tabs>
          <w:tab w:val="left" w:pos="1540"/>
        </w:tabs>
        <w:rPr>
          <w:rFonts w:asciiTheme="minorHAnsi" w:eastAsiaTheme="minorEastAsia" w:hAnsiTheme="minorHAnsi" w:cstheme="minorBidi"/>
          <w:b w:val="0"/>
          <w:sz w:val="22"/>
          <w:szCs w:val="22"/>
          <w:lang w:eastAsia="en-AU"/>
        </w:rPr>
      </w:pPr>
      <w:hyperlink w:anchor="_Toc467133539" w:history="1">
        <w:r w:rsidR="000E77BC" w:rsidRPr="00EF69AA">
          <w:rPr>
            <w:rStyle w:val="Hyperlink"/>
          </w:rPr>
          <w:t>Appendix B</w:t>
        </w:r>
        <w:r w:rsidR="000E77BC">
          <w:rPr>
            <w:rFonts w:asciiTheme="minorHAnsi" w:eastAsiaTheme="minorEastAsia" w:hAnsiTheme="minorHAnsi" w:cstheme="minorBidi"/>
            <w:b w:val="0"/>
            <w:sz w:val="22"/>
            <w:szCs w:val="22"/>
            <w:lang w:eastAsia="en-AU"/>
          </w:rPr>
          <w:tab/>
        </w:r>
        <w:r w:rsidR="000E77BC" w:rsidRPr="00EF69AA">
          <w:rPr>
            <w:rStyle w:val="Hyperlink"/>
          </w:rPr>
          <w:t>Sources for Benefits</w:t>
        </w:r>
        <w:r w:rsidR="000E77BC">
          <w:rPr>
            <w:webHidden/>
          </w:rPr>
          <w:tab/>
        </w:r>
        <w:r w:rsidR="000E77BC">
          <w:rPr>
            <w:webHidden/>
          </w:rPr>
          <w:fldChar w:fldCharType="begin"/>
        </w:r>
        <w:r w:rsidR="000E77BC">
          <w:rPr>
            <w:webHidden/>
          </w:rPr>
          <w:instrText xml:space="preserve"> PAGEREF _Toc467133539 \h </w:instrText>
        </w:r>
        <w:r w:rsidR="000E77BC">
          <w:rPr>
            <w:webHidden/>
          </w:rPr>
        </w:r>
        <w:r w:rsidR="000E77BC">
          <w:rPr>
            <w:webHidden/>
          </w:rPr>
          <w:fldChar w:fldCharType="separate"/>
        </w:r>
        <w:r w:rsidR="000E77BC">
          <w:rPr>
            <w:webHidden/>
          </w:rPr>
          <w:t>28</w:t>
        </w:r>
        <w:r w:rsidR="000E77BC">
          <w:rPr>
            <w:webHidden/>
          </w:rPr>
          <w:fldChar w:fldCharType="end"/>
        </w:r>
      </w:hyperlink>
    </w:p>
    <w:p w:rsidR="000E77BC" w:rsidRDefault="00101D10">
      <w:pPr>
        <w:pStyle w:val="TOC1"/>
        <w:tabs>
          <w:tab w:val="left" w:pos="1540"/>
        </w:tabs>
        <w:rPr>
          <w:rFonts w:asciiTheme="minorHAnsi" w:eastAsiaTheme="minorEastAsia" w:hAnsiTheme="minorHAnsi" w:cstheme="minorBidi"/>
          <w:b w:val="0"/>
          <w:sz w:val="22"/>
          <w:szCs w:val="22"/>
          <w:lang w:eastAsia="en-AU"/>
        </w:rPr>
      </w:pPr>
      <w:hyperlink w:anchor="_Toc467133540" w:history="1">
        <w:r w:rsidR="000E77BC" w:rsidRPr="00EF69AA">
          <w:rPr>
            <w:rStyle w:val="Hyperlink"/>
          </w:rPr>
          <w:t>Appendix C</w:t>
        </w:r>
        <w:r w:rsidR="000E77BC">
          <w:rPr>
            <w:rFonts w:asciiTheme="minorHAnsi" w:eastAsiaTheme="minorEastAsia" w:hAnsiTheme="minorHAnsi" w:cstheme="minorBidi"/>
            <w:b w:val="0"/>
            <w:sz w:val="22"/>
            <w:szCs w:val="22"/>
            <w:lang w:eastAsia="en-AU"/>
          </w:rPr>
          <w:tab/>
        </w:r>
        <w:r w:rsidR="000E77BC" w:rsidRPr="00EF69AA">
          <w:rPr>
            <w:rStyle w:val="Hyperlink"/>
          </w:rPr>
          <w:t>Sensitivity Analysis</w:t>
        </w:r>
        <w:r w:rsidR="000E77BC">
          <w:rPr>
            <w:webHidden/>
          </w:rPr>
          <w:tab/>
        </w:r>
        <w:r w:rsidR="000E77BC">
          <w:rPr>
            <w:webHidden/>
          </w:rPr>
          <w:fldChar w:fldCharType="begin"/>
        </w:r>
        <w:r w:rsidR="000E77BC">
          <w:rPr>
            <w:webHidden/>
          </w:rPr>
          <w:instrText xml:space="preserve"> PAGEREF _Toc467133540 \h </w:instrText>
        </w:r>
        <w:r w:rsidR="000E77BC">
          <w:rPr>
            <w:webHidden/>
          </w:rPr>
        </w:r>
        <w:r w:rsidR="000E77BC">
          <w:rPr>
            <w:webHidden/>
          </w:rPr>
          <w:fldChar w:fldCharType="separate"/>
        </w:r>
        <w:r w:rsidR="000E77BC">
          <w:rPr>
            <w:webHidden/>
          </w:rPr>
          <w:t>31</w:t>
        </w:r>
        <w:r w:rsidR="000E77BC">
          <w:rPr>
            <w:webHidden/>
          </w:rPr>
          <w:fldChar w:fldCharType="end"/>
        </w:r>
      </w:hyperlink>
    </w:p>
    <w:p w:rsidR="000E77BC" w:rsidRDefault="00101D10">
      <w:pPr>
        <w:pStyle w:val="TOC1"/>
        <w:tabs>
          <w:tab w:val="left" w:pos="1540"/>
        </w:tabs>
        <w:rPr>
          <w:rFonts w:asciiTheme="minorHAnsi" w:eastAsiaTheme="minorEastAsia" w:hAnsiTheme="minorHAnsi" w:cstheme="minorBidi"/>
          <w:b w:val="0"/>
          <w:sz w:val="22"/>
          <w:szCs w:val="22"/>
          <w:lang w:eastAsia="en-AU"/>
        </w:rPr>
      </w:pPr>
      <w:hyperlink w:anchor="_Toc467133541" w:history="1">
        <w:r w:rsidR="000E77BC" w:rsidRPr="00EF69AA">
          <w:rPr>
            <w:rStyle w:val="Hyperlink"/>
          </w:rPr>
          <w:t>Appendix D</w:t>
        </w:r>
        <w:r w:rsidR="000E77BC">
          <w:rPr>
            <w:rFonts w:asciiTheme="minorHAnsi" w:eastAsiaTheme="minorEastAsia" w:hAnsiTheme="minorHAnsi" w:cstheme="minorBidi"/>
            <w:b w:val="0"/>
            <w:sz w:val="22"/>
            <w:szCs w:val="22"/>
            <w:lang w:eastAsia="en-AU"/>
          </w:rPr>
          <w:tab/>
        </w:r>
        <w:r w:rsidR="000E77BC" w:rsidRPr="00EF69AA">
          <w:rPr>
            <w:rStyle w:val="Hyperlink"/>
          </w:rPr>
          <w:t>Text description for graphic</w:t>
        </w:r>
        <w:r w:rsidR="000E77BC">
          <w:rPr>
            <w:webHidden/>
          </w:rPr>
          <w:tab/>
        </w:r>
        <w:r w:rsidR="000E77BC">
          <w:rPr>
            <w:webHidden/>
          </w:rPr>
          <w:fldChar w:fldCharType="begin"/>
        </w:r>
        <w:r w:rsidR="000E77BC">
          <w:rPr>
            <w:webHidden/>
          </w:rPr>
          <w:instrText xml:space="preserve"> PAGEREF _Toc467133541 \h </w:instrText>
        </w:r>
        <w:r w:rsidR="000E77BC">
          <w:rPr>
            <w:webHidden/>
          </w:rPr>
        </w:r>
        <w:r w:rsidR="000E77BC">
          <w:rPr>
            <w:webHidden/>
          </w:rPr>
          <w:fldChar w:fldCharType="separate"/>
        </w:r>
        <w:r w:rsidR="000E77BC">
          <w:rPr>
            <w:webHidden/>
          </w:rPr>
          <w:t>33</w:t>
        </w:r>
        <w:r w:rsidR="000E77BC">
          <w:rPr>
            <w:webHidden/>
          </w:rPr>
          <w:fldChar w:fldCharType="end"/>
        </w:r>
      </w:hyperlink>
    </w:p>
    <w:p w:rsidR="00DE5B35" w:rsidRDefault="00817195" w:rsidP="001301C0">
      <w:pPr>
        <w:pStyle w:val="TOC1"/>
        <w:tabs>
          <w:tab w:val="left" w:pos="709"/>
          <w:tab w:val="left" w:pos="993"/>
          <w:tab w:val="left" w:pos="1276"/>
          <w:tab w:val="left" w:pos="1418"/>
          <w:tab w:val="left" w:pos="9214"/>
        </w:tabs>
        <w:rPr>
          <w:rStyle w:val="Hyperlink"/>
          <w:noProof w:val="0"/>
        </w:rPr>
      </w:pPr>
      <w:r>
        <w:rPr>
          <w:rStyle w:val="Hyperlink"/>
          <w:noProof w:val="0"/>
        </w:rPr>
        <w:fldChar w:fldCharType="end"/>
      </w:r>
    </w:p>
    <w:p w:rsidR="00DE5B35" w:rsidRDefault="00DE5B35">
      <w:pPr>
        <w:spacing w:before="0" w:after="0"/>
        <w:rPr>
          <w:rStyle w:val="Hyperlink"/>
          <w:b/>
          <w:szCs w:val="24"/>
        </w:rPr>
      </w:pPr>
      <w:r>
        <w:rPr>
          <w:rStyle w:val="Hyperlink"/>
        </w:rPr>
        <w:br w:type="page"/>
      </w:r>
    </w:p>
    <w:p w:rsidR="00A46B5A" w:rsidRPr="004D685D" w:rsidRDefault="00A46B5A" w:rsidP="001301C0">
      <w:pPr>
        <w:pStyle w:val="TOC1"/>
        <w:tabs>
          <w:tab w:val="left" w:pos="709"/>
          <w:tab w:val="left" w:pos="993"/>
          <w:tab w:val="left" w:pos="1276"/>
          <w:tab w:val="left" w:pos="1418"/>
          <w:tab w:val="left" w:pos="9214"/>
        </w:tabs>
        <w:rPr>
          <w:noProof w:val="0"/>
        </w:rPr>
      </w:pPr>
      <w:r w:rsidRPr="004D685D">
        <w:rPr>
          <w:noProof w:val="0"/>
        </w:rPr>
        <w:lastRenderedPageBreak/>
        <w:t>Figures:</w:t>
      </w:r>
    </w:p>
    <w:bookmarkStart w:id="5" w:name="ToT"/>
    <w:p w:rsidR="00F128B7" w:rsidRDefault="00F128B7">
      <w:pPr>
        <w:pStyle w:val="TableofFigures"/>
        <w:rPr>
          <w:rFonts w:asciiTheme="minorHAnsi" w:eastAsiaTheme="minorEastAsia" w:hAnsiTheme="minorHAnsi" w:cstheme="minorBidi"/>
          <w:noProof/>
          <w:sz w:val="22"/>
          <w:szCs w:val="22"/>
          <w:lang w:eastAsia="en-AU"/>
        </w:rPr>
      </w:pPr>
      <w:r>
        <w:fldChar w:fldCharType="begin"/>
      </w:r>
      <w:r>
        <w:instrText xml:space="preserve"> TOC \c "Figure" </w:instrText>
      </w:r>
      <w:r>
        <w:fldChar w:fldCharType="separate"/>
      </w:r>
      <w:r>
        <w:rPr>
          <w:noProof/>
        </w:rPr>
        <w:t>Figure 4</w:t>
      </w:r>
      <w:r>
        <w:rPr>
          <w:noProof/>
        </w:rPr>
        <w:noBreakHyphen/>
        <w:t>1 – ALNSW outcomes map</w:t>
      </w:r>
      <w:r>
        <w:rPr>
          <w:noProof/>
        </w:rPr>
        <w:tab/>
      </w:r>
      <w:r>
        <w:rPr>
          <w:noProof/>
        </w:rPr>
        <w:fldChar w:fldCharType="begin"/>
      </w:r>
      <w:r>
        <w:rPr>
          <w:noProof/>
        </w:rPr>
        <w:instrText xml:space="preserve"> PAGEREF _Toc467132539 \h </w:instrText>
      </w:r>
      <w:r>
        <w:rPr>
          <w:noProof/>
        </w:rPr>
      </w:r>
      <w:r>
        <w:rPr>
          <w:noProof/>
        </w:rPr>
        <w:fldChar w:fldCharType="separate"/>
      </w:r>
      <w:r>
        <w:rPr>
          <w:noProof/>
        </w:rPr>
        <w:t>13</w:t>
      </w:r>
      <w:r>
        <w:rPr>
          <w:noProof/>
        </w:rPr>
        <w:fldChar w:fldCharType="end"/>
      </w:r>
    </w:p>
    <w:p w:rsidR="0039126A" w:rsidRDefault="00F128B7" w:rsidP="00B534CE">
      <w:r>
        <w:rPr>
          <w:szCs w:val="18"/>
        </w:rPr>
        <w:fldChar w:fldCharType="end"/>
      </w:r>
    </w:p>
    <w:p w:rsidR="00A46B5A" w:rsidRPr="007B1DD4" w:rsidRDefault="00A46B5A" w:rsidP="00B534CE">
      <w:pPr>
        <w:rPr>
          <w:b/>
        </w:rPr>
      </w:pPr>
      <w:r w:rsidRPr="007B1DD4">
        <w:rPr>
          <w:b/>
        </w:rPr>
        <w:t>Tables:</w:t>
      </w:r>
    </w:p>
    <w:bookmarkEnd w:id="5"/>
    <w:p w:rsidR="00DE5B35" w:rsidRDefault="00DE5B35">
      <w:pPr>
        <w:pStyle w:val="TableofFigures"/>
        <w:rPr>
          <w:rFonts w:asciiTheme="minorHAnsi" w:eastAsiaTheme="minorEastAsia" w:hAnsiTheme="minorHAnsi" w:cstheme="minorBidi"/>
          <w:noProof/>
          <w:sz w:val="22"/>
          <w:szCs w:val="22"/>
          <w:lang w:eastAsia="en-AU"/>
        </w:rPr>
      </w:pPr>
      <w:r>
        <w:fldChar w:fldCharType="begin"/>
      </w:r>
      <w:r>
        <w:instrText xml:space="preserve"> TOC \c "Table" </w:instrText>
      </w:r>
      <w:r>
        <w:fldChar w:fldCharType="separate"/>
      </w:r>
      <w:r>
        <w:rPr>
          <w:noProof/>
        </w:rPr>
        <w:t>Tables E–1 – NSW FACS Outcomes Data, 2015-16*</w:t>
      </w:r>
      <w:r>
        <w:rPr>
          <w:noProof/>
        </w:rPr>
        <w:tab/>
      </w:r>
      <w:r>
        <w:rPr>
          <w:noProof/>
        </w:rPr>
        <w:fldChar w:fldCharType="begin"/>
      </w:r>
      <w:r>
        <w:rPr>
          <w:noProof/>
        </w:rPr>
        <w:instrText xml:space="preserve"> PAGEREF _Toc467137545 \h </w:instrText>
      </w:r>
      <w:r>
        <w:rPr>
          <w:noProof/>
        </w:rPr>
      </w:r>
      <w:r>
        <w:rPr>
          <w:noProof/>
        </w:rPr>
        <w:fldChar w:fldCharType="separate"/>
      </w:r>
      <w:r>
        <w:rPr>
          <w:noProof/>
        </w:rPr>
        <w:t>3</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E–2 – CBA results for NPV</w:t>
      </w:r>
      <w:r>
        <w:rPr>
          <w:noProof/>
        </w:rPr>
        <w:tab/>
      </w:r>
      <w:r>
        <w:rPr>
          <w:noProof/>
        </w:rPr>
        <w:fldChar w:fldCharType="begin"/>
      </w:r>
      <w:r>
        <w:rPr>
          <w:noProof/>
        </w:rPr>
        <w:instrText xml:space="preserve"> PAGEREF _Toc467137546 \h </w:instrText>
      </w:r>
      <w:r>
        <w:rPr>
          <w:noProof/>
        </w:rPr>
      </w:r>
      <w:r>
        <w:rPr>
          <w:noProof/>
        </w:rPr>
        <w:fldChar w:fldCharType="separate"/>
      </w:r>
      <w:r>
        <w:rPr>
          <w:noProof/>
        </w:rPr>
        <w:t>4</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E–3 – CBA Results: Aboriginal outcomes</w:t>
      </w:r>
      <w:r>
        <w:rPr>
          <w:noProof/>
        </w:rPr>
        <w:tab/>
      </w:r>
      <w:r>
        <w:rPr>
          <w:noProof/>
        </w:rPr>
        <w:fldChar w:fldCharType="begin"/>
      </w:r>
      <w:r>
        <w:rPr>
          <w:noProof/>
        </w:rPr>
        <w:instrText xml:space="preserve"> PAGEREF _Toc467137547 \h </w:instrText>
      </w:r>
      <w:r>
        <w:rPr>
          <w:noProof/>
        </w:rPr>
      </w:r>
      <w:r>
        <w:rPr>
          <w:noProof/>
        </w:rPr>
        <w:fldChar w:fldCharType="separate"/>
      </w:r>
      <w:r>
        <w:rPr>
          <w:noProof/>
        </w:rPr>
        <w:t>5</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2</w:t>
      </w:r>
      <w:r>
        <w:rPr>
          <w:noProof/>
        </w:rPr>
        <w:noBreakHyphen/>
        <w:t>1 – Detailed program costs</w:t>
      </w:r>
      <w:r>
        <w:rPr>
          <w:noProof/>
        </w:rPr>
        <w:tab/>
      </w:r>
      <w:r>
        <w:rPr>
          <w:noProof/>
        </w:rPr>
        <w:fldChar w:fldCharType="begin"/>
      </w:r>
      <w:r>
        <w:rPr>
          <w:noProof/>
        </w:rPr>
        <w:instrText xml:space="preserve"> PAGEREF _Toc467137548 \h </w:instrText>
      </w:r>
      <w:r>
        <w:rPr>
          <w:noProof/>
        </w:rPr>
      </w:r>
      <w:r>
        <w:rPr>
          <w:noProof/>
        </w:rPr>
        <w:fldChar w:fldCharType="separate"/>
      </w:r>
      <w:r>
        <w:rPr>
          <w:noProof/>
        </w:rPr>
        <w:t>9</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3</w:t>
      </w:r>
      <w:r>
        <w:rPr>
          <w:noProof/>
        </w:rPr>
        <w:noBreakHyphen/>
        <w:t>1 – Individual outcomes (2015-16)</w:t>
      </w:r>
      <w:r>
        <w:rPr>
          <w:noProof/>
        </w:rPr>
        <w:tab/>
      </w:r>
      <w:r>
        <w:rPr>
          <w:noProof/>
        </w:rPr>
        <w:fldChar w:fldCharType="begin"/>
      </w:r>
      <w:r>
        <w:rPr>
          <w:noProof/>
        </w:rPr>
        <w:instrText xml:space="preserve"> PAGEREF _Toc467137549 \h </w:instrText>
      </w:r>
      <w:r>
        <w:rPr>
          <w:noProof/>
        </w:rPr>
      </w:r>
      <w:r>
        <w:rPr>
          <w:noProof/>
        </w:rPr>
        <w:fldChar w:fldCharType="separate"/>
      </w:r>
      <w:r>
        <w:rPr>
          <w:noProof/>
        </w:rPr>
        <w:t>11</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3</w:t>
      </w:r>
      <w:r>
        <w:rPr>
          <w:noProof/>
        </w:rPr>
        <w:noBreakHyphen/>
        <w:t>2 – Community outcomes (2015-16)</w:t>
      </w:r>
      <w:r>
        <w:rPr>
          <w:noProof/>
        </w:rPr>
        <w:tab/>
      </w:r>
      <w:r>
        <w:rPr>
          <w:noProof/>
        </w:rPr>
        <w:fldChar w:fldCharType="begin"/>
      </w:r>
      <w:r>
        <w:rPr>
          <w:noProof/>
        </w:rPr>
        <w:instrText xml:space="preserve"> PAGEREF _Toc467137550 \h </w:instrText>
      </w:r>
      <w:r>
        <w:rPr>
          <w:noProof/>
        </w:rPr>
      </w:r>
      <w:r>
        <w:rPr>
          <w:noProof/>
        </w:rPr>
        <w:fldChar w:fldCharType="separate"/>
      </w:r>
      <w:r>
        <w:rPr>
          <w:noProof/>
        </w:rPr>
        <w:t>12</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4</w:t>
      </w:r>
      <w:r>
        <w:rPr>
          <w:noProof/>
        </w:rPr>
        <w:noBreakHyphen/>
        <w:t>1 – Economic benefits assigned to outcomes</w:t>
      </w:r>
      <w:r>
        <w:rPr>
          <w:noProof/>
        </w:rPr>
        <w:tab/>
      </w:r>
      <w:r>
        <w:rPr>
          <w:noProof/>
        </w:rPr>
        <w:fldChar w:fldCharType="begin"/>
      </w:r>
      <w:r>
        <w:rPr>
          <w:noProof/>
        </w:rPr>
        <w:instrText xml:space="preserve"> PAGEREF _Toc467137551 \h </w:instrText>
      </w:r>
      <w:r>
        <w:rPr>
          <w:noProof/>
        </w:rPr>
      </w:r>
      <w:r>
        <w:rPr>
          <w:noProof/>
        </w:rPr>
        <w:fldChar w:fldCharType="separate"/>
      </w:r>
      <w:r>
        <w:rPr>
          <w:noProof/>
        </w:rPr>
        <w:t>14</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4</w:t>
      </w:r>
      <w:r>
        <w:rPr>
          <w:noProof/>
        </w:rPr>
        <w:noBreakHyphen/>
        <w:t>2 – Social benefits assigned to outcomes</w:t>
      </w:r>
      <w:r>
        <w:rPr>
          <w:noProof/>
        </w:rPr>
        <w:tab/>
      </w:r>
      <w:r>
        <w:rPr>
          <w:noProof/>
        </w:rPr>
        <w:fldChar w:fldCharType="begin"/>
      </w:r>
      <w:r>
        <w:rPr>
          <w:noProof/>
        </w:rPr>
        <w:instrText xml:space="preserve"> PAGEREF _Toc467137552 \h </w:instrText>
      </w:r>
      <w:r>
        <w:rPr>
          <w:noProof/>
        </w:rPr>
      </w:r>
      <w:r>
        <w:rPr>
          <w:noProof/>
        </w:rPr>
        <w:fldChar w:fldCharType="separate"/>
      </w:r>
      <w:r>
        <w:rPr>
          <w:noProof/>
        </w:rPr>
        <w:t>15</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4</w:t>
      </w:r>
      <w:r>
        <w:rPr>
          <w:noProof/>
        </w:rPr>
        <w:noBreakHyphen/>
        <w:t>3 – Outcomes with associated attribution rates</w:t>
      </w:r>
      <w:r>
        <w:rPr>
          <w:noProof/>
        </w:rPr>
        <w:tab/>
      </w:r>
      <w:r>
        <w:rPr>
          <w:noProof/>
        </w:rPr>
        <w:fldChar w:fldCharType="begin"/>
      </w:r>
      <w:r>
        <w:rPr>
          <w:noProof/>
        </w:rPr>
        <w:instrText xml:space="preserve"> PAGEREF _Toc467137553 \h </w:instrText>
      </w:r>
      <w:r>
        <w:rPr>
          <w:noProof/>
        </w:rPr>
      </w:r>
      <w:r>
        <w:rPr>
          <w:noProof/>
        </w:rPr>
        <w:fldChar w:fldCharType="separate"/>
      </w:r>
      <w:r>
        <w:rPr>
          <w:noProof/>
        </w:rPr>
        <w:t>16</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4</w:t>
      </w:r>
      <w:r>
        <w:rPr>
          <w:noProof/>
        </w:rPr>
        <w:noBreakHyphen/>
        <w:t>4 – Economic benefits of individual outcomes (2015-16 to 2024-25)</w:t>
      </w:r>
      <w:r>
        <w:rPr>
          <w:noProof/>
        </w:rPr>
        <w:tab/>
      </w:r>
      <w:r>
        <w:rPr>
          <w:noProof/>
        </w:rPr>
        <w:fldChar w:fldCharType="begin"/>
      </w:r>
      <w:r>
        <w:rPr>
          <w:noProof/>
        </w:rPr>
        <w:instrText xml:space="preserve"> PAGEREF _Toc467137554 \h </w:instrText>
      </w:r>
      <w:r>
        <w:rPr>
          <w:noProof/>
        </w:rPr>
      </w:r>
      <w:r>
        <w:rPr>
          <w:noProof/>
        </w:rPr>
        <w:fldChar w:fldCharType="separate"/>
      </w:r>
      <w:r>
        <w:rPr>
          <w:noProof/>
        </w:rPr>
        <w:t>17</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4</w:t>
      </w:r>
      <w:r>
        <w:rPr>
          <w:noProof/>
        </w:rPr>
        <w:noBreakHyphen/>
        <w:t>5 – Social benefits of individual outcomes (2015-16 to 2024-25)</w:t>
      </w:r>
      <w:r>
        <w:rPr>
          <w:noProof/>
        </w:rPr>
        <w:tab/>
      </w:r>
      <w:r>
        <w:rPr>
          <w:noProof/>
        </w:rPr>
        <w:fldChar w:fldCharType="begin"/>
      </w:r>
      <w:r>
        <w:rPr>
          <w:noProof/>
        </w:rPr>
        <w:instrText xml:space="preserve"> PAGEREF _Toc467137555 \h </w:instrText>
      </w:r>
      <w:r>
        <w:rPr>
          <w:noProof/>
        </w:rPr>
      </w:r>
      <w:r>
        <w:rPr>
          <w:noProof/>
        </w:rPr>
        <w:fldChar w:fldCharType="separate"/>
      </w:r>
      <w:r>
        <w:rPr>
          <w:noProof/>
        </w:rPr>
        <w:t>18</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5</w:t>
      </w:r>
      <w:r>
        <w:rPr>
          <w:noProof/>
        </w:rPr>
        <w:noBreakHyphen/>
        <w:t>1 – CBA results</w:t>
      </w:r>
      <w:r>
        <w:rPr>
          <w:noProof/>
        </w:rPr>
        <w:tab/>
      </w:r>
      <w:r>
        <w:rPr>
          <w:noProof/>
        </w:rPr>
        <w:fldChar w:fldCharType="begin"/>
      </w:r>
      <w:r>
        <w:rPr>
          <w:noProof/>
        </w:rPr>
        <w:instrText xml:space="preserve"> PAGEREF _Toc467137556 \h </w:instrText>
      </w:r>
      <w:r>
        <w:rPr>
          <w:noProof/>
        </w:rPr>
      </w:r>
      <w:r>
        <w:rPr>
          <w:noProof/>
        </w:rPr>
        <w:fldChar w:fldCharType="separate"/>
      </w:r>
      <w:r>
        <w:rPr>
          <w:noProof/>
        </w:rPr>
        <w:t>22</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5</w:t>
      </w:r>
      <w:r>
        <w:rPr>
          <w:noProof/>
        </w:rPr>
        <w:noBreakHyphen/>
        <w:t>2 – Aboriginal CBA results</w:t>
      </w:r>
      <w:r>
        <w:rPr>
          <w:noProof/>
        </w:rPr>
        <w:tab/>
      </w:r>
      <w:r>
        <w:rPr>
          <w:noProof/>
        </w:rPr>
        <w:fldChar w:fldCharType="begin"/>
      </w:r>
      <w:r>
        <w:rPr>
          <w:noProof/>
        </w:rPr>
        <w:instrText xml:space="preserve"> PAGEREF _Toc467137557 \h </w:instrText>
      </w:r>
      <w:r>
        <w:rPr>
          <w:noProof/>
        </w:rPr>
      </w:r>
      <w:r>
        <w:rPr>
          <w:noProof/>
        </w:rPr>
        <w:fldChar w:fldCharType="separate"/>
      </w:r>
      <w:r>
        <w:rPr>
          <w:noProof/>
        </w:rPr>
        <w:t>23</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A</w:t>
      </w:r>
      <w:r>
        <w:rPr>
          <w:noProof/>
        </w:rPr>
        <w:noBreakHyphen/>
        <w:t>1 – Individual Aboriginal outcomes 2015-16</w:t>
      </w:r>
      <w:r>
        <w:rPr>
          <w:noProof/>
        </w:rPr>
        <w:tab/>
      </w:r>
      <w:r>
        <w:rPr>
          <w:noProof/>
        </w:rPr>
        <w:fldChar w:fldCharType="begin"/>
      </w:r>
      <w:r>
        <w:rPr>
          <w:noProof/>
        </w:rPr>
        <w:instrText xml:space="preserve"> PAGEREF _Toc467137558 \h </w:instrText>
      </w:r>
      <w:r>
        <w:rPr>
          <w:noProof/>
        </w:rPr>
      </w:r>
      <w:r>
        <w:rPr>
          <w:noProof/>
        </w:rPr>
        <w:fldChar w:fldCharType="separate"/>
      </w:r>
      <w:r>
        <w:rPr>
          <w:noProof/>
        </w:rPr>
        <w:t>26</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 B</w:t>
      </w:r>
      <w:r>
        <w:rPr>
          <w:noProof/>
        </w:rPr>
        <w:noBreakHyphen/>
        <w:t>1 – Sources for social and economic benefits</w:t>
      </w:r>
      <w:r>
        <w:rPr>
          <w:noProof/>
        </w:rPr>
        <w:tab/>
      </w:r>
      <w:r>
        <w:rPr>
          <w:noProof/>
        </w:rPr>
        <w:fldChar w:fldCharType="begin"/>
      </w:r>
      <w:r>
        <w:rPr>
          <w:noProof/>
        </w:rPr>
        <w:instrText xml:space="preserve"> PAGEREF _Toc467137559 \h </w:instrText>
      </w:r>
      <w:r>
        <w:rPr>
          <w:noProof/>
        </w:rPr>
      </w:r>
      <w:r>
        <w:rPr>
          <w:noProof/>
        </w:rPr>
        <w:fldChar w:fldCharType="separate"/>
      </w:r>
      <w:r>
        <w:rPr>
          <w:noProof/>
        </w:rPr>
        <w:t>29</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C</w:t>
      </w:r>
      <w:r>
        <w:rPr>
          <w:noProof/>
        </w:rPr>
        <w:noBreakHyphen/>
        <w:t>1 – CBA results with 4% discount rate</w:t>
      </w:r>
      <w:r>
        <w:rPr>
          <w:noProof/>
        </w:rPr>
        <w:tab/>
      </w:r>
      <w:r>
        <w:rPr>
          <w:noProof/>
        </w:rPr>
        <w:fldChar w:fldCharType="begin"/>
      </w:r>
      <w:r>
        <w:rPr>
          <w:noProof/>
        </w:rPr>
        <w:instrText xml:space="preserve"> PAGEREF _Toc467137560 \h </w:instrText>
      </w:r>
      <w:r>
        <w:rPr>
          <w:noProof/>
        </w:rPr>
      </w:r>
      <w:r>
        <w:rPr>
          <w:noProof/>
        </w:rPr>
        <w:fldChar w:fldCharType="separate"/>
      </w:r>
      <w:r>
        <w:rPr>
          <w:noProof/>
        </w:rPr>
        <w:t>32</w:t>
      </w:r>
      <w:r>
        <w:rPr>
          <w:noProof/>
        </w:rPr>
        <w:fldChar w:fldCharType="end"/>
      </w:r>
    </w:p>
    <w:p w:rsidR="00DE5B35" w:rsidRDefault="00DE5B35">
      <w:pPr>
        <w:pStyle w:val="TableofFigures"/>
        <w:rPr>
          <w:rFonts w:asciiTheme="minorHAnsi" w:eastAsiaTheme="minorEastAsia" w:hAnsiTheme="minorHAnsi" w:cstheme="minorBidi"/>
          <w:noProof/>
          <w:sz w:val="22"/>
          <w:szCs w:val="22"/>
          <w:lang w:eastAsia="en-AU"/>
        </w:rPr>
      </w:pPr>
      <w:r>
        <w:rPr>
          <w:noProof/>
        </w:rPr>
        <w:t>Tables C</w:t>
      </w:r>
      <w:r>
        <w:rPr>
          <w:noProof/>
        </w:rPr>
        <w:noBreakHyphen/>
        <w:t>2 – CBA results with 10% discount rate</w:t>
      </w:r>
      <w:r>
        <w:rPr>
          <w:noProof/>
        </w:rPr>
        <w:tab/>
      </w:r>
      <w:r>
        <w:rPr>
          <w:noProof/>
        </w:rPr>
        <w:fldChar w:fldCharType="begin"/>
      </w:r>
      <w:r>
        <w:rPr>
          <w:noProof/>
        </w:rPr>
        <w:instrText xml:space="preserve"> PAGEREF _Toc467137561 \h </w:instrText>
      </w:r>
      <w:r>
        <w:rPr>
          <w:noProof/>
        </w:rPr>
      </w:r>
      <w:r>
        <w:rPr>
          <w:noProof/>
        </w:rPr>
        <w:fldChar w:fldCharType="separate"/>
      </w:r>
      <w:r>
        <w:rPr>
          <w:noProof/>
        </w:rPr>
        <w:t>32</w:t>
      </w:r>
      <w:r>
        <w:rPr>
          <w:noProof/>
        </w:rPr>
        <w:fldChar w:fldCharType="end"/>
      </w:r>
    </w:p>
    <w:p w:rsidR="003615E3" w:rsidRPr="004D685D" w:rsidRDefault="00DE5B35" w:rsidP="00B37A4E">
      <w:pPr>
        <w:pStyle w:val="TableofFigures"/>
      </w:pPr>
      <w:r>
        <w:fldChar w:fldCharType="end"/>
      </w:r>
    </w:p>
    <w:p w:rsidR="003615E3" w:rsidRPr="004D685D" w:rsidRDefault="003615E3" w:rsidP="00B534CE">
      <w:pPr>
        <w:sectPr w:rsidR="003615E3" w:rsidRPr="004D685D" w:rsidSect="00087FBA">
          <w:headerReference w:type="even" r:id="rId15"/>
          <w:headerReference w:type="default" r:id="rId16"/>
          <w:footerReference w:type="even" r:id="rId17"/>
          <w:footerReference w:type="default" r:id="rId18"/>
          <w:pgSz w:w="11907" w:h="16840" w:code="9"/>
          <w:pgMar w:top="1134" w:right="1134" w:bottom="1418" w:left="1418" w:header="272" w:footer="340" w:gutter="0"/>
          <w:pgNumType w:start="1"/>
          <w:cols w:space="708"/>
          <w:docGrid w:linePitch="360"/>
        </w:sectPr>
      </w:pPr>
    </w:p>
    <w:p w:rsidR="001175A3" w:rsidRPr="00994C7C" w:rsidRDefault="00B0454F" w:rsidP="00B0454F">
      <w:pPr>
        <w:pStyle w:val="Heading1"/>
        <w:numPr>
          <w:ilvl w:val="0"/>
          <w:numId w:val="0"/>
        </w:numPr>
        <w:ind w:left="851" w:hanging="851"/>
      </w:pPr>
      <w:bookmarkStart w:id="6" w:name="_Toc465092180"/>
      <w:bookmarkStart w:id="7" w:name="_Toc467133508"/>
      <w:bookmarkStart w:id="8" w:name="_Toc290632521"/>
      <w:bookmarkStart w:id="9" w:name="_Toc290633016"/>
      <w:bookmarkStart w:id="10" w:name="_Toc358713806"/>
      <w:bookmarkStart w:id="11" w:name="_Toc358727472"/>
      <w:bookmarkStart w:id="12" w:name="_Toc358727498"/>
      <w:bookmarkStart w:id="13" w:name="_Toc358727502"/>
      <w:bookmarkStart w:id="14" w:name="_Toc358727506"/>
      <w:bookmarkStart w:id="15" w:name="_Toc358728323"/>
      <w:bookmarkStart w:id="16" w:name="_Toc361837002"/>
      <w:bookmarkStart w:id="17" w:name="_Toc361839462"/>
      <w:bookmarkStart w:id="18" w:name="bm_exec_summary"/>
      <w:bookmarkStart w:id="19" w:name="_Toc235595507"/>
      <w:bookmarkStart w:id="20" w:name="_Toc233469292"/>
      <w:bookmarkStart w:id="21" w:name="bm_content"/>
      <w:r w:rsidRPr="00994C7C">
        <w:lastRenderedPageBreak/>
        <w:t>Acronyms</w:t>
      </w:r>
      <w:bookmarkEnd w:id="6"/>
      <w:r w:rsidR="001175A3" w:rsidRPr="00994C7C">
        <w:t xml:space="preserve"> and Definitions</w:t>
      </w:r>
      <w:bookmarkEnd w:id="7"/>
    </w:p>
    <w:p w:rsidR="00B0454F" w:rsidRPr="000C350F" w:rsidRDefault="00963F4C" w:rsidP="001175A3">
      <w:r>
        <w:t>Following</w:t>
      </w:r>
      <w:r w:rsidR="001175A3" w:rsidRPr="000C350F">
        <w:t xml:space="preserve"> is a list of acronyms used throughout the report, and their definitions</w:t>
      </w:r>
    </w:p>
    <w:tbl>
      <w:tblPr>
        <w:tblStyle w:val="CaptionTable"/>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Acronyms and descriptions"/>
      </w:tblPr>
      <w:tblGrid>
        <w:gridCol w:w="2235"/>
        <w:gridCol w:w="6662"/>
      </w:tblGrid>
      <w:tr w:rsidR="0094796D" w:rsidRPr="00A554AD" w:rsidTr="0094796D">
        <w:trPr>
          <w:cnfStyle w:val="100000000000" w:firstRow="1" w:lastRow="0" w:firstColumn="0" w:lastColumn="0" w:oddVBand="0" w:evenVBand="0" w:oddHBand="0" w:evenHBand="0" w:firstRowFirstColumn="0" w:firstRowLastColumn="0" w:lastRowFirstColumn="0" w:lastRowLastColumn="0"/>
          <w:tblHeader/>
        </w:trPr>
        <w:tc>
          <w:tcPr>
            <w:tcW w:w="2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4796D" w:rsidRPr="002C179E" w:rsidRDefault="0094796D" w:rsidP="002C179E">
            <w:pPr>
              <w:pStyle w:val="UrbisTableHeader"/>
              <w:ind w:left="0"/>
              <w:rPr>
                <w:b/>
                <w:sz w:val="20"/>
              </w:rPr>
            </w:pPr>
            <w:bookmarkStart w:id="22" w:name="ColumnTitle_Acronyms"/>
            <w:bookmarkEnd w:id="22"/>
            <w:r w:rsidRPr="002C179E">
              <w:rPr>
                <w:b/>
                <w:sz w:val="20"/>
              </w:rPr>
              <w:t>Acronym</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4796D" w:rsidRPr="002C179E" w:rsidRDefault="0094796D" w:rsidP="002C179E">
            <w:pPr>
              <w:pStyle w:val="UrbisTableHeader"/>
              <w:ind w:left="33"/>
              <w:rPr>
                <w:b/>
                <w:sz w:val="20"/>
              </w:rPr>
            </w:pPr>
            <w:r w:rsidRPr="002C179E">
              <w:rPr>
                <w:b/>
                <w:sz w:val="20"/>
              </w:rPr>
              <w:t>Full name</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ALNSW</w:t>
            </w:r>
            <w:r w:rsidR="00B0454F" w:rsidRPr="000C350F">
              <w:rPr>
                <w:rFonts w:cs="Arial"/>
              </w:rPr>
              <w:t>s</w:t>
            </w:r>
          </w:p>
        </w:tc>
        <w:tc>
          <w:tcPr>
            <w:tcW w:w="6662" w:type="dxa"/>
          </w:tcPr>
          <w:p w:rsidR="00B0454F" w:rsidRPr="000C350F" w:rsidRDefault="001175A3" w:rsidP="0094796D">
            <w:pPr>
              <w:spacing w:before="120" w:after="120"/>
              <w:rPr>
                <w:rFonts w:cs="Arial"/>
              </w:rPr>
            </w:pPr>
            <w:r w:rsidRPr="000C350F">
              <w:rPr>
                <w:rFonts w:cs="Arial"/>
              </w:rPr>
              <w:t>Ability Links New South Wales</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ELNSW</w:t>
            </w:r>
          </w:p>
        </w:tc>
        <w:tc>
          <w:tcPr>
            <w:tcW w:w="6662" w:type="dxa"/>
          </w:tcPr>
          <w:p w:rsidR="00B0454F" w:rsidRPr="000C350F" w:rsidRDefault="001175A3" w:rsidP="0094796D">
            <w:pPr>
              <w:spacing w:before="120" w:after="120"/>
              <w:rPr>
                <w:rFonts w:cs="Arial"/>
              </w:rPr>
            </w:pPr>
            <w:r w:rsidRPr="000C350F">
              <w:rPr>
                <w:rFonts w:cs="Arial"/>
              </w:rPr>
              <w:t>Early Links New South Wales</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FY</w:t>
            </w:r>
          </w:p>
        </w:tc>
        <w:tc>
          <w:tcPr>
            <w:tcW w:w="6662" w:type="dxa"/>
          </w:tcPr>
          <w:p w:rsidR="00B0454F" w:rsidRPr="000C350F" w:rsidRDefault="001175A3" w:rsidP="0094796D">
            <w:pPr>
              <w:spacing w:before="120" w:after="120"/>
              <w:rPr>
                <w:rFonts w:cs="Arial"/>
              </w:rPr>
            </w:pPr>
            <w:r w:rsidRPr="000C350F">
              <w:rPr>
                <w:rFonts w:cs="Arial"/>
              </w:rPr>
              <w:t>Financial Year</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NDIS</w:t>
            </w:r>
          </w:p>
        </w:tc>
        <w:tc>
          <w:tcPr>
            <w:tcW w:w="6662" w:type="dxa"/>
          </w:tcPr>
          <w:p w:rsidR="00B0454F" w:rsidRPr="000C350F" w:rsidRDefault="001175A3" w:rsidP="0094796D">
            <w:pPr>
              <w:spacing w:before="120" w:after="120"/>
              <w:rPr>
                <w:rFonts w:cs="Arial"/>
              </w:rPr>
            </w:pPr>
            <w:r w:rsidRPr="000C350F">
              <w:rPr>
                <w:rFonts w:cs="Arial"/>
              </w:rPr>
              <w:t>National Disability Insurance Scheme</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CBA</w:t>
            </w:r>
          </w:p>
        </w:tc>
        <w:tc>
          <w:tcPr>
            <w:tcW w:w="6662" w:type="dxa"/>
          </w:tcPr>
          <w:p w:rsidR="00B0454F" w:rsidRPr="000C350F" w:rsidRDefault="001175A3" w:rsidP="0094796D">
            <w:pPr>
              <w:spacing w:before="120" w:after="120"/>
              <w:rPr>
                <w:rFonts w:cs="Arial"/>
              </w:rPr>
            </w:pPr>
            <w:r w:rsidRPr="000C350F">
              <w:rPr>
                <w:rFonts w:cs="Arial"/>
              </w:rPr>
              <w:t>Cost Benefit Analysis</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BCR</w:t>
            </w:r>
          </w:p>
        </w:tc>
        <w:tc>
          <w:tcPr>
            <w:tcW w:w="6662" w:type="dxa"/>
          </w:tcPr>
          <w:p w:rsidR="00B0454F" w:rsidRPr="000C350F" w:rsidRDefault="001175A3" w:rsidP="0094796D">
            <w:pPr>
              <w:spacing w:before="120" w:after="120"/>
              <w:rPr>
                <w:rFonts w:cs="Arial"/>
              </w:rPr>
            </w:pPr>
            <w:r w:rsidRPr="000C350F">
              <w:rPr>
                <w:rFonts w:cs="Arial"/>
              </w:rPr>
              <w:t>Benefit Cost Ratio</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NSW FACS</w:t>
            </w:r>
          </w:p>
        </w:tc>
        <w:tc>
          <w:tcPr>
            <w:tcW w:w="6662" w:type="dxa"/>
          </w:tcPr>
          <w:p w:rsidR="00B0454F" w:rsidRPr="000C350F" w:rsidRDefault="001175A3" w:rsidP="0094796D">
            <w:pPr>
              <w:spacing w:before="120" w:after="120"/>
              <w:rPr>
                <w:rFonts w:cs="Arial"/>
              </w:rPr>
            </w:pPr>
            <w:r w:rsidRPr="000C350F">
              <w:rPr>
                <w:rFonts w:cs="Arial"/>
              </w:rPr>
              <w:t>NSW Department of Family and Community Services</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NPV</w:t>
            </w:r>
          </w:p>
        </w:tc>
        <w:tc>
          <w:tcPr>
            <w:tcW w:w="6662" w:type="dxa"/>
          </w:tcPr>
          <w:p w:rsidR="00B0454F" w:rsidRPr="000C350F" w:rsidRDefault="001175A3" w:rsidP="0094796D">
            <w:pPr>
              <w:spacing w:before="120" w:after="120"/>
              <w:rPr>
                <w:rFonts w:cs="Arial"/>
              </w:rPr>
            </w:pPr>
            <w:r w:rsidRPr="000C350F">
              <w:rPr>
                <w:rFonts w:cs="Arial"/>
              </w:rPr>
              <w:t>Net Present Value:  the value in today’s dollars of future years’ activity</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Consumer welfare</w:t>
            </w:r>
          </w:p>
        </w:tc>
        <w:tc>
          <w:tcPr>
            <w:tcW w:w="6662" w:type="dxa"/>
          </w:tcPr>
          <w:p w:rsidR="00B0454F" w:rsidRPr="000C350F" w:rsidRDefault="001175A3" w:rsidP="0094796D">
            <w:pPr>
              <w:spacing w:before="120" w:after="120"/>
              <w:rPr>
                <w:rFonts w:cs="Arial"/>
              </w:rPr>
            </w:pPr>
            <w:r w:rsidRPr="000C350F">
              <w:t>Individual benefits derived from consumption of goods and services. An increase in consumer welfare occurs when there is increased consumption of good and services</w:t>
            </w:r>
          </w:p>
        </w:tc>
      </w:tr>
      <w:tr w:rsidR="000C350F" w:rsidRPr="000C350F" w:rsidTr="007B1DD4">
        <w:tc>
          <w:tcPr>
            <w:tcW w:w="2235" w:type="dxa"/>
          </w:tcPr>
          <w:p w:rsidR="00B0454F" w:rsidRPr="000C350F" w:rsidRDefault="001175A3" w:rsidP="0094796D">
            <w:pPr>
              <w:spacing w:before="120" w:after="120"/>
              <w:rPr>
                <w:rFonts w:cs="Arial"/>
              </w:rPr>
            </w:pPr>
            <w:r w:rsidRPr="000C350F">
              <w:rPr>
                <w:rFonts w:cs="Arial"/>
              </w:rPr>
              <w:t>Search costs</w:t>
            </w:r>
          </w:p>
        </w:tc>
        <w:tc>
          <w:tcPr>
            <w:tcW w:w="6662" w:type="dxa"/>
          </w:tcPr>
          <w:p w:rsidR="00B0454F" w:rsidRPr="000C350F" w:rsidRDefault="001175A3" w:rsidP="0094796D">
            <w:pPr>
              <w:spacing w:before="120" w:after="120"/>
              <w:rPr>
                <w:rFonts w:cs="Arial"/>
              </w:rPr>
            </w:pPr>
            <w:r w:rsidRPr="000C350F">
              <w:t>The cost of time and/or money expended by a consumer in researching a product or service.</w:t>
            </w:r>
          </w:p>
        </w:tc>
      </w:tr>
    </w:tbl>
    <w:p w:rsidR="0094796D" w:rsidRDefault="001175A3" w:rsidP="00381B9F">
      <w:pPr>
        <w:spacing w:before="240" w:after="60"/>
      </w:pPr>
      <w:r w:rsidRPr="000C350F">
        <w:t>This report uses cost data for Financial Year (FY) 2015-16. Outcomes data was provided for the first six months of 2016, which was then extrapolated to estimate outcomes for the full FY 2015-16.</w:t>
      </w:r>
    </w:p>
    <w:p w:rsidR="004B14C9" w:rsidRDefault="004B14C9" w:rsidP="00381B9F">
      <w:pPr>
        <w:spacing w:before="240" w:after="60"/>
        <w:rPr>
          <w:b/>
        </w:rPr>
        <w:sectPr w:rsidR="004B14C9" w:rsidSect="00310E13">
          <w:headerReference w:type="even" r:id="rId19"/>
          <w:headerReference w:type="default" r:id="rId20"/>
          <w:footerReference w:type="even" r:id="rId21"/>
          <w:footerReference w:type="default" r:id="rId22"/>
          <w:pgSz w:w="11907" w:h="16840" w:code="9"/>
          <w:pgMar w:top="1134" w:right="1134" w:bottom="1418" w:left="1417" w:header="272" w:footer="340" w:gutter="0"/>
          <w:pgNumType w:start="1"/>
          <w:cols w:space="708"/>
          <w:docGrid w:linePitch="360"/>
        </w:sectPr>
      </w:pPr>
    </w:p>
    <w:p w:rsidR="003615E3" w:rsidRPr="00994C7C" w:rsidRDefault="003615E3" w:rsidP="0094796D">
      <w:pPr>
        <w:pStyle w:val="Heading1"/>
        <w:numPr>
          <w:ilvl w:val="0"/>
          <w:numId w:val="0"/>
        </w:numPr>
        <w:ind w:left="851" w:hanging="851"/>
      </w:pPr>
      <w:bookmarkStart w:id="26" w:name="_Toc467133509"/>
      <w:r w:rsidRPr="00994C7C">
        <w:lastRenderedPageBreak/>
        <w:t>Executive Summary</w:t>
      </w:r>
      <w:bookmarkEnd w:id="8"/>
      <w:bookmarkEnd w:id="9"/>
      <w:bookmarkEnd w:id="10"/>
      <w:bookmarkEnd w:id="11"/>
      <w:bookmarkEnd w:id="12"/>
      <w:bookmarkEnd w:id="13"/>
      <w:bookmarkEnd w:id="14"/>
      <w:bookmarkEnd w:id="15"/>
      <w:bookmarkEnd w:id="16"/>
      <w:bookmarkEnd w:id="17"/>
      <w:bookmarkEnd w:id="26"/>
    </w:p>
    <w:p w:rsidR="00583ACC" w:rsidRPr="000C350F" w:rsidRDefault="00583ACC" w:rsidP="00583ACC">
      <w:bookmarkStart w:id="27" w:name="_Toc345923825"/>
      <w:bookmarkStart w:id="28" w:name="_Toc361825776"/>
      <w:r w:rsidRPr="000C350F">
        <w:t>In early 2015, Urbis completed a Social Cost Benefit Analysis (CBA) of the Ability Links NSW (ALNSW) program, following the first 16 months of operation in the Hunter, where two providers were operating. The 2015 Social CBA evaluated the first year of the program, based on data for Financial Year (FY) 2013-14. Outcomes recorded in the 2015 report were drawn from the results of 106 case studies, based on interviews conducted by Urbis staff during fieldwork in April and May 2014 and qualitative reports submitted by ALNSW providers. Based on these findings, estimates were also forecast for outcomes for the following two financial years, FY2014-15 and 2015-16.</w:t>
      </w:r>
    </w:p>
    <w:p w:rsidR="00583ACC" w:rsidRPr="000C350F" w:rsidRDefault="00583ACC" w:rsidP="00583ACC">
      <w:pPr>
        <w:rPr>
          <w:rFonts w:cs="Arial"/>
        </w:rPr>
      </w:pPr>
      <w:r w:rsidRPr="000C350F">
        <w:rPr>
          <w:rFonts w:cs="Arial"/>
        </w:rPr>
        <w:t xml:space="preserve">The evolution of the ALNSW model (which now incorporates Early Links NSW), its implementation and delivery within communities across NSW has been underpinned by a partnership approach and co-design process. In line with this approach, work was undertaken with ALNSW providers to move towards an online data and reporting system, which became operational January 2016. As a result, this has allowed for a greater level of quantitative analysis of data collected. </w:t>
      </w:r>
    </w:p>
    <w:p w:rsidR="00583ACC" w:rsidRPr="000C350F" w:rsidRDefault="00583ACC" w:rsidP="00583ACC">
      <w:pPr>
        <w:rPr>
          <w:rFonts w:cs="Arial"/>
        </w:rPr>
      </w:pPr>
      <w:r w:rsidRPr="000C350F">
        <w:t>With more detailed quantitative outcomes data now available for the first half of the 2016 calendar year, Urbis has been engaged by NSW Department of Family and Community Services (FACS) to update the Social CBA for 2015-16, which covers both ALNSW and Early Links NSW (ELNSW). Full year estimates for FY 2015-16 outcomes have been extrapolated from the six month outcomes (January-June 2016).</w:t>
      </w:r>
    </w:p>
    <w:p w:rsidR="00583ACC" w:rsidRPr="000C350F" w:rsidRDefault="00583ACC" w:rsidP="00583ACC">
      <w:r w:rsidRPr="000C350F">
        <w:t xml:space="preserve">The aim of this report is to measure the economic and social benefits of both ALNSW and ELNSW. In particular, the report </w:t>
      </w:r>
      <w:proofErr w:type="gramStart"/>
      <w:r w:rsidRPr="000C350F">
        <w:t>documents</w:t>
      </w:r>
      <w:proofErr w:type="gramEnd"/>
      <w:r w:rsidRPr="000C350F">
        <w:t xml:space="preserve"> how the program has progressed since the last report and demonstrates how outcomes and benefits estimated in the 2015 report have in fact been exceeded. </w:t>
      </w:r>
    </w:p>
    <w:p w:rsidR="00583ACC" w:rsidRPr="00994C7C" w:rsidRDefault="00583ACC" w:rsidP="00583ACC">
      <w:pPr>
        <w:pStyle w:val="Head2"/>
      </w:pPr>
      <w:bookmarkStart w:id="29" w:name="_Toc467133510"/>
      <w:r w:rsidRPr="00994C7C">
        <w:t>Outcomes</w:t>
      </w:r>
      <w:bookmarkEnd w:id="29"/>
    </w:p>
    <w:p w:rsidR="00583ACC" w:rsidRPr="000C350F" w:rsidRDefault="00583ACC" w:rsidP="00583ACC">
      <w:r w:rsidRPr="000C350F">
        <w:t>Outcomes data provided by NSW FACS were recorded for ALNSW and ELNSW, and categorised as either individual or community outcomes. Outcomes were reported over a six-month period, from 1 January to 30 June 2016 and have been extrapolated to estimate a full year of outcomes for FY 2015-16 for comparative purposes.</w:t>
      </w:r>
    </w:p>
    <w:p w:rsidR="00583ACC" w:rsidRPr="000C350F" w:rsidRDefault="00583ACC" w:rsidP="00583ACC">
      <w:r w:rsidRPr="000C350F">
        <w:t>The extrapolated data indicates that 29,410 people have received information only and 10,376 people have collectively achieved 18,864 outcomes for FY 2015-16.  Over the same period, 2,132 community outcomes have been achieved.</w:t>
      </w:r>
    </w:p>
    <w:p w:rsidR="00583ACC" w:rsidRPr="000C350F" w:rsidRDefault="00583ACC" w:rsidP="00583ACC">
      <w:r w:rsidRPr="000C350F">
        <w:t xml:space="preserve">FACS provided six months of data for the first half of 2016. Outcomes shown in </w:t>
      </w:r>
      <w:r w:rsidRPr="000C350F">
        <w:fldChar w:fldCharType="begin"/>
      </w:r>
      <w:r w:rsidRPr="000C350F">
        <w:instrText xml:space="preserve"> REF _Ref460422541 \h </w:instrText>
      </w:r>
      <w:r w:rsidRPr="000C350F">
        <w:fldChar w:fldCharType="separate"/>
      </w:r>
      <w:r w:rsidRPr="000C350F">
        <w:t>Table E–</w:t>
      </w:r>
      <w:r w:rsidRPr="000C350F">
        <w:rPr>
          <w:noProof/>
        </w:rPr>
        <w:t>1</w:t>
      </w:r>
      <w:r w:rsidRPr="000C350F">
        <w:fldChar w:fldCharType="end"/>
      </w:r>
      <w:r w:rsidRPr="000C350F">
        <w:t xml:space="preserve"> have been extrapolated from this to provide data over FY 2015-16. A more detailed breakdown of outcomes is provided in Section </w:t>
      </w:r>
      <w:r w:rsidRPr="000C350F">
        <w:fldChar w:fldCharType="begin"/>
      </w:r>
      <w:r w:rsidRPr="000C350F">
        <w:instrText xml:space="preserve"> REF _Ref460419415 \r \h </w:instrText>
      </w:r>
      <w:r w:rsidRPr="000C350F">
        <w:fldChar w:fldCharType="separate"/>
      </w:r>
      <w:r w:rsidRPr="000C350F">
        <w:t>2</w:t>
      </w:r>
      <w:r w:rsidRPr="000C350F">
        <w:fldChar w:fldCharType="end"/>
      </w:r>
      <w:r w:rsidRPr="000C350F">
        <w:t>.</w:t>
      </w:r>
    </w:p>
    <w:p w:rsidR="0069578E" w:rsidRDefault="0069578E">
      <w:pPr>
        <w:spacing w:before="0" w:after="0"/>
        <w:rPr>
          <w:rFonts w:cs="Courier New"/>
          <w:b/>
          <w:bCs/>
          <w:color w:val="404040"/>
        </w:rPr>
      </w:pPr>
      <w:bookmarkStart w:id="30" w:name="_Ref460422541"/>
      <w:bookmarkStart w:id="31" w:name="_Toc466025142"/>
      <w:r>
        <w:br w:type="page"/>
      </w:r>
    </w:p>
    <w:p w:rsidR="00583ACC" w:rsidRPr="00994C7C" w:rsidRDefault="00583ACC" w:rsidP="00583ACC">
      <w:pPr>
        <w:pStyle w:val="Caption"/>
        <w:rPr>
          <w:sz w:val="20"/>
          <w:szCs w:val="20"/>
        </w:rPr>
      </w:pPr>
      <w:bookmarkStart w:id="32" w:name="_Toc467137545"/>
      <w:r w:rsidRPr="00994C7C">
        <w:rPr>
          <w:sz w:val="20"/>
          <w:szCs w:val="20"/>
        </w:rPr>
        <w:lastRenderedPageBreak/>
        <w:t>Table</w:t>
      </w:r>
      <w:r w:rsidR="00B03354">
        <w:rPr>
          <w:sz w:val="20"/>
          <w:szCs w:val="20"/>
        </w:rPr>
        <w:t>s</w:t>
      </w:r>
      <w:r w:rsidRPr="00994C7C">
        <w:rPr>
          <w:sz w:val="20"/>
          <w:szCs w:val="20"/>
        </w:rPr>
        <w:t xml:space="preserve"> E–</w:t>
      </w:r>
      <w:r w:rsidRPr="00994C7C">
        <w:rPr>
          <w:sz w:val="20"/>
          <w:szCs w:val="20"/>
        </w:rPr>
        <w:fldChar w:fldCharType="begin"/>
      </w:r>
      <w:r w:rsidRPr="00994C7C">
        <w:rPr>
          <w:sz w:val="20"/>
          <w:szCs w:val="20"/>
        </w:rPr>
        <w:instrText xml:space="preserve"> SEQ Table \* ARABIC </w:instrText>
      </w:r>
      <w:r w:rsidRPr="00994C7C">
        <w:rPr>
          <w:sz w:val="20"/>
          <w:szCs w:val="20"/>
        </w:rPr>
        <w:fldChar w:fldCharType="separate"/>
      </w:r>
      <w:r w:rsidRPr="00994C7C">
        <w:rPr>
          <w:noProof/>
          <w:sz w:val="20"/>
          <w:szCs w:val="20"/>
        </w:rPr>
        <w:t>1</w:t>
      </w:r>
      <w:r w:rsidRPr="00994C7C">
        <w:rPr>
          <w:noProof/>
          <w:sz w:val="20"/>
          <w:szCs w:val="20"/>
        </w:rPr>
        <w:fldChar w:fldCharType="end"/>
      </w:r>
      <w:bookmarkEnd w:id="30"/>
      <w:r w:rsidRPr="00994C7C">
        <w:rPr>
          <w:sz w:val="20"/>
          <w:szCs w:val="20"/>
        </w:rPr>
        <w:t xml:space="preserve"> – NSW FACS </w:t>
      </w:r>
      <w:r w:rsidR="000C350F">
        <w:rPr>
          <w:sz w:val="20"/>
          <w:szCs w:val="20"/>
        </w:rPr>
        <w:t>Outcomes D</w:t>
      </w:r>
      <w:r w:rsidRPr="00994C7C">
        <w:rPr>
          <w:sz w:val="20"/>
          <w:szCs w:val="20"/>
        </w:rPr>
        <w:t>ata, 2015-16*</w:t>
      </w:r>
      <w:bookmarkEnd w:id="31"/>
      <w:bookmarkEnd w:id="32"/>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Number of individual outcomes achieved in ALNSW and ELNSW"/>
      </w:tblPr>
      <w:tblGrid>
        <w:gridCol w:w="5064"/>
        <w:gridCol w:w="1503"/>
        <w:gridCol w:w="1503"/>
        <w:gridCol w:w="1502"/>
      </w:tblGrid>
      <w:tr w:rsidR="000C350F" w:rsidRPr="000C350F" w:rsidTr="00B80DE3">
        <w:trPr>
          <w:cnfStyle w:val="100000000000" w:firstRow="1" w:lastRow="0" w:firstColumn="0" w:lastColumn="0" w:oddVBand="0" w:evenVBand="0" w:oddHBand="0" w:evenHBand="0" w:firstRowFirstColumn="0" w:firstRowLastColumn="0" w:lastRowFirstColumn="0" w:lastRowLastColumn="0"/>
          <w:tblHeader/>
        </w:trPr>
        <w:tc>
          <w:tcPr>
            <w:tcW w:w="506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583ACC" w:rsidRPr="000C350F" w:rsidRDefault="000C350F" w:rsidP="00D14BF8">
            <w:pPr>
              <w:spacing w:after="60"/>
              <w:rPr>
                <w:color w:val="auto"/>
              </w:rPr>
            </w:pPr>
            <w:bookmarkStart w:id="33" w:name="ColumnTitle_TableE1a"/>
            <w:bookmarkEnd w:id="33"/>
            <w:r w:rsidRPr="000C350F">
              <w:rPr>
                <w:b/>
                <w:color w:val="auto"/>
              </w:rPr>
              <w:t>Individual outcomes</w:t>
            </w:r>
          </w:p>
        </w:tc>
        <w:tc>
          <w:tcPr>
            <w:tcW w:w="150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583ACC" w:rsidRPr="000C350F" w:rsidRDefault="00583ACC" w:rsidP="00D803EE">
            <w:pPr>
              <w:spacing w:after="60"/>
              <w:rPr>
                <w:b/>
                <w:color w:val="auto"/>
              </w:rPr>
            </w:pPr>
            <w:r w:rsidRPr="000C350F">
              <w:rPr>
                <w:b/>
                <w:color w:val="auto"/>
              </w:rPr>
              <w:t>ALNSW</w:t>
            </w:r>
          </w:p>
        </w:tc>
        <w:tc>
          <w:tcPr>
            <w:tcW w:w="150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583ACC" w:rsidRPr="000C350F" w:rsidRDefault="00583ACC" w:rsidP="00D803EE">
            <w:pPr>
              <w:spacing w:after="60"/>
              <w:rPr>
                <w:b/>
                <w:color w:val="auto"/>
              </w:rPr>
            </w:pPr>
            <w:r w:rsidRPr="000C350F">
              <w:rPr>
                <w:b/>
                <w:color w:val="auto"/>
              </w:rPr>
              <w:t>ELNSW</w:t>
            </w:r>
          </w:p>
        </w:tc>
        <w:tc>
          <w:tcPr>
            <w:tcW w:w="150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583ACC" w:rsidRPr="000C350F" w:rsidRDefault="00583ACC" w:rsidP="00D803EE">
            <w:pPr>
              <w:spacing w:after="60"/>
              <w:rPr>
                <w:b/>
                <w:color w:val="auto"/>
              </w:rPr>
            </w:pPr>
            <w:r w:rsidRPr="000C350F">
              <w:rPr>
                <w:b/>
                <w:color w:val="auto"/>
              </w:rPr>
              <w:t>Total</w:t>
            </w:r>
          </w:p>
        </w:tc>
      </w:tr>
      <w:tr w:rsidR="000C350F" w:rsidRPr="000C350F" w:rsidTr="00B80DE3">
        <w:trPr>
          <w:cnfStyle w:val="000000100000" w:firstRow="0" w:lastRow="0" w:firstColumn="0" w:lastColumn="0" w:oddVBand="0" w:evenVBand="0" w:oddHBand="1" w:evenHBand="0" w:firstRowFirstColumn="0" w:firstRowLastColumn="0" w:lastRowFirstColumn="0" w:lastRowLastColumn="0"/>
        </w:trPr>
        <w:tc>
          <w:tcPr>
            <w:tcW w:w="5064" w:type="dxa"/>
            <w:shd w:val="clear" w:color="auto" w:fill="auto"/>
            <w:vAlign w:val="top"/>
          </w:tcPr>
          <w:p w:rsidR="00583ACC" w:rsidRPr="000C350F" w:rsidRDefault="00583ACC" w:rsidP="00D14BF8">
            <w:pPr>
              <w:spacing w:after="60"/>
            </w:pPr>
            <w:r w:rsidRPr="000C350F">
              <w:t>Social, community and civic participation</w:t>
            </w:r>
          </w:p>
        </w:tc>
        <w:tc>
          <w:tcPr>
            <w:tcW w:w="1503" w:type="dxa"/>
            <w:shd w:val="clear" w:color="auto" w:fill="auto"/>
            <w:vAlign w:val="top"/>
          </w:tcPr>
          <w:p w:rsidR="00583ACC" w:rsidRPr="000C350F" w:rsidRDefault="00583ACC" w:rsidP="00F976CF">
            <w:pPr>
              <w:spacing w:after="60"/>
            </w:pPr>
            <w:r w:rsidRPr="000C350F">
              <w:t xml:space="preserve">4,376 </w:t>
            </w:r>
          </w:p>
        </w:tc>
        <w:tc>
          <w:tcPr>
            <w:tcW w:w="1503" w:type="dxa"/>
            <w:shd w:val="clear" w:color="auto" w:fill="auto"/>
            <w:vAlign w:val="top"/>
          </w:tcPr>
          <w:p w:rsidR="00583ACC" w:rsidRPr="000C350F" w:rsidRDefault="00583ACC" w:rsidP="00F976CF">
            <w:pPr>
              <w:spacing w:after="60"/>
            </w:pPr>
            <w:r w:rsidRPr="000C350F">
              <w:t xml:space="preserve">2,928 </w:t>
            </w:r>
          </w:p>
        </w:tc>
        <w:tc>
          <w:tcPr>
            <w:tcW w:w="1502" w:type="dxa"/>
            <w:shd w:val="clear" w:color="auto" w:fill="auto"/>
            <w:vAlign w:val="top"/>
          </w:tcPr>
          <w:p w:rsidR="00583ACC" w:rsidRPr="000C350F" w:rsidRDefault="00583ACC" w:rsidP="00F976CF">
            <w:pPr>
              <w:spacing w:after="60"/>
            </w:pPr>
            <w:r w:rsidRPr="000C350F">
              <w:t xml:space="preserve">7,304 </w:t>
            </w:r>
          </w:p>
        </w:tc>
      </w:tr>
      <w:tr w:rsidR="000C350F" w:rsidRPr="000C350F" w:rsidTr="00B80DE3">
        <w:tc>
          <w:tcPr>
            <w:tcW w:w="5064" w:type="dxa"/>
            <w:vAlign w:val="top"/>
          </w:tcPr>
          <w:p w:rsidR="00583ACC" w:rsidRPr="000C350F" w:rsidRDefault="00583ACC" w:rsidP="00D14BF8">
            <w:pPr>
              <w:spacing w:after="60"/>
            </w:pPr>
            <w:r w:rsidRPr="000C350F">
              <w:t>Service engagement</w:t>
            </w:r>
          </w:p>
        </w:tc>
        <w:tc>
          <w:tcPr>
            <w:tcW w:w="1503" w:type="dxa"/>
            <w:vAlign w:val="top"/>
          </w:tcPr>
          <w:p w:rsidR="00583ACC" w:rsidRPr="000C350F" w:rsidRDefault="00583ACC" w:rsidP="00F976CF">
            <w:pPr>
              <w:spacing w:after="60"/>
            </w:pPr>
            <w:r w:rsidRPr="000C350F">
              <w:t xml:space="preserve">4,486 </w:t>
            </w:r>
          </w:p>
        </w:tc>
        <w:tc>
          <w:tcPr>
            <w:tcW w:w="1503" w:type="dxa"/>
            <w:vAlign w:val="top"/>
          </w:tcPr>
          <w:p w:rsidR="00583ACC" w:rsidRPr="000C350F" w:rsidRDefault="00583ACC" w:rsidP="00F976CF">
            <w:pPr>
              <w:spacing w:after="60"/>
            </w:pPr>
            <w:r w:rsidRPr="000C350F">
              <w:t xml:space="preserve">3,782 </w:t>
            </w:r>
          </w:p>
        </w:tc>
        <w:tc>
          <w:tcPr>
            <w:tcW w:w="1502" w:type="dxa"/>
            <w:vAlign w:val="top"/>
          </w:tcPr>
          <w:p w:rsidR="00583ACC" w:rsidRPr="000C350F" w:rsidRDefault="00583ACC" w:rsidP="00F976CF">
            <w:pPr>
              <w:spacing w:after="60"/>
            </w:pPr>
            <w:r w:rsidRPr="000C350F">
              <w:t xml:space="preserve">8,268 </w:t>
            </w:r>
          </w:p>
        </w:tc>
      </w:tr>
      <w:tr w:rsidR="000C350F" w:rsidRPr="000C350F" w:rsidTr="00B80DE3">
        <w:trPr>
          <w:cnfStyle w:val="000000100000" w:firstRow="0" w:lastRow="0" w:firstColumn="0" w:lastColumn="0" w:oddVBand="0" w:evenVBand="0" w:oddHBand="1" w:evenHBand="0" w:firstRowFirstColumn="0" w:firstRowLastColumn="0" w:lastRowFirstColumn="0" w:lastRowLastColumn="0"/>
        </w:trPr>
        <w:tc>
          <w:tcPr>
            <w:tcW w:w="5064" w:type="dxa"/>
            <w:shd w:val="clear" w:color="auto" w:fill="auto"/>
            <w:vAlign w:val="top"/>
          </w:tcPr>
          <w:p w:rsidR="00583ACC" w:rsidRPr="000C350F" w:rsidRDefault="00583ACC" w:rsidP="00D14BF8">
            <w:pPr>
              <w:spacing w:after="60"/>
            </w:pPr>
            <w:r w:rsidRPr="000C350F">
              <w:t xml:space="preserve">Employment </w:t>
            </w:r>
          </w:p>
        </w:tc>
        <w:tc>
          <w:tcPr>
            <w:tcW w:w="1503" w:type="dxa"/>
            <w:shd w:val="clear" w:color="auto" w:fill="auto"/>
            <w:vAlign w:val="top"/>
          </w:tcPr>
          <w:p w:rsidR="00583ACC" w:rsidRPr="000C350F" w:rsidRDefault="00583ACC" w:rsidP="00F976CF">
            <w:pPr>
              <w:spacing w:after="60"/>
            </w:pPr>
            <w:r w:rsidRPr="000C350F">
              <w:t xml:space="preserve">1,128 </w:t>
            </w:r>
          </w:p>
        </w:tc>
        <w:tc>
          <w:tcPr>
            <w:tcW w:w="1503" w:type="dxa"/>
            <w:shd w:val="clear" w:color="auto" w:fill="auto"/>
            <w:vAlign w:val="top"/>
          </w:tcPr>
          <w:p w:rsidR="00583ACC" w:rsidRPr="000C350F" w:rsidRDefault="00583ACC" w:rsidP="00F976CF">
            <w:pPr>
              <w:spacing w:after="60"/>
            </w:pPr>
            <w:r w:rsidRPr="000C350F">
              <w:t xml:space="preserve">158 </w:t>
            </w:r>
          </w:p>
        </w:tc>
        <w:tc>
          <w:tcPr>
            <w:tcW w:w="1502" w:type="dxa"/>
            <w:shd w:val="clear" w:color="auto" w:fill="auto"/>
            <w:vAlign w:val="top"/>
          </w:tcPr>
          <w:p w:rsidR="00583ACC" w:rsidRPr="000C350F" w:rsidRDefault="00583ACC" w:rsidP="00F976CF">
            <w:pPr>
              <w:spacing w:after="60"/>
            </w:pPr>
            <w:r w:rsidRPr="000C350F">
              <w:t xml:space="preserve">1,286 </w:t>
            </w:r>
          </w:p>
        </w:tc>
      </w:tr>
      <w:tr w:rsidR="000C350F" w:rsidRPr="000C350F" w:rsidTr="00B80DE3">
        <w:tc>
          <w:tcPr>
            <w:tcW w:w="5064" w:type="dxa"/>
            <w:vAlign w:val="top"/>
          </w:tcPr>
          <w:p w:rsidR="00583ACC" w:rsidRPr="000C350F" w:rsidRDefault="00583ACC" w:rsidP="00D14BF8">
            <w:pPr>
              <w:spacing w:after="60"/>
            </w:pPr>
            <w:r w:rsidRPr="000C350F">
              <w:t>Education and training</w:t>
            </w:r>
          </w:p>
        </w:tc>
        <w:tc>
          <w:tcPr>
            <w:tcW w:w="1503" w:type="dxa"/>
            <w:vAlign w:val="top"/>
          </w:tcPr>
          <w:p w:rsidR="00583ACC" w:rsidRPr="000C350F" w:rsidRDefault="00583ACC" w:rsidP="00F976CF">
            <w:pPr>
              <w:spacing w:after="60"/>
            </w:pPr>
            <w:r w:rsidRPr="000C350F">
              <w:t xml:space="preserve">1,150 </w:t>
            </w:r>
          </w:p>
        </w:tc>
        <w:tc>
          <w:tcPr>
            <w:tcW w:w="1503" w:type="dxa"/>
            <w:vAlign w:val="top"/>
          </w:tcPr>
          <w:p w:rsidR="00583ACC" w:rsidRPr="000C350F" w:rsidRDefault="00583ACC" w:rsidP="00F976CF">
            <w:pPr>
              <w:spacing w:after="60"/>
            </w:pPr>
            <w:r w:rsidRPr="000C350F">
              <w:t xml:space="preserve">856 </w:t>
            </w:r>
          </w:p>
        </w:tc>
        <w:tc>
          <w:tcPr>
            <w:tcW w:w="1502" w:type="dxa"/>
            <w:vAlign w:val="top"/>
          </w:tcPr>
          <w:p w:rsidR="00583ACC" w:rsidRPr="000C350F" w:rsidRDefault="00583ACC" w:rsidP="00F976CF">
            <w:pPr>
              <w:spacing w:after="60"/>
            </w:pPr>
            <w:r w:rsidRPr="000C350F">
              <w:t xml:space="preserve">2,006 </w:t>
            </w:r>
          </w:p>
        </w:tc>
      </w:tr>
      <w:tr w:rsidR="000C350F" w:rsidRPr="000C350F" w:rsidTr="00B80DE3">
        <w:trPr>
          <w:cnfStyle w:val="000000100000" w:firstRow="0" w:lastRow="0" w:firstColumn="0" w:lastColumn="0" w:oddVBand="0" w:evenVBand="0" w:oddHBand="1" w:evenHBand="0" w:firstRowFirstColumn="0" w:firstRowLastColumn="0" w:lastRowFirstColumn="0" w:lastRowLastColumn="0"/>
        </w:trPr>
        <w:tc>
          <w:tcPr>
            <w:tcW w:w="5064" w:type="dxa"/>
            <w:shd w:val="clear" w:color="auto" w:fill="auto"/>
            <w:vAlign w:val="top"/>
          </w:tcPr>
          <w:p w:rsidR="00583ACC" w:rsidRPr="000C350F" w:rsidRDefault="00583ACC" w:rsidP="00D14BF8">
            <w:pPr>
              <w:spacing w:after="60"/>
              <w:rPr>
                <w:b/>
              </w:rPr>
            </w:pPr>
            <w:r w:rsidRPr="000C350F">
              <w:rPr>
                <w:b/>
              </w:rPr>
              <w:t>Total all individual outcomes</w:t>
            </w:r>
          </w:p>
        </w:tc>
        <w:tc>
          <w:tcPr>
            <w:tcW w:w="1503" w:type="dxa"/>
            <w:shd w:val="clear" w:color="auto" w:fill="auto"/>
            <w:vAlign w:val="top"/>
          </w:tcPr>
          <w:p w:rsidR="00583ACC" w:rsidRPr="000C350F" w:rsidRDefault="00583ACC" w:rsidP="00F976CF">
            <w:pPr>
              <w:spacing w:after="60"/>
              <w:rPr>
                <w:b/>
              </w:rPr>
            </w:pPr>
            <w:r w:rsidRPr="000C350F">
              <w:rPr>
                <w:b/>
              </w:rPr>
              <w:t xml:space="preserve">11,140 </w:t>
            </w:r>
          </w:p>
        </w:tc>
        <w:tc>
          <w:tcPr>
            <w:tcW w:w="1503" w:type="dxa"/>
            <w:shd w:val="clear" w:color="auto" w:fill="auto"/>
            <w:vAlign w:val="top"/>
          </w:tcPr>
          <w:p w:rsidR="00583ACC" w:rsidRPr="000C350F" w:rsidRDefault="00583ACC" w:rsidP="00F976CF">
            <w:pPr>
              <w:spacing w:after="60"/>
              <w:rPr>
                <w:b/>
              </w:rPr>
            </w:pPr>
            <w:r w:rsidRPr="000C350F">
              <w:rPr>
                <w:b/>
              </w:rPr>
              <w:t xml:space="preserve">7,724 </w:t>
            </w:r>
          </w:p>
        </w:tc>
        <w:tc>
          <w:tcPr>
            <w:tcW w:w="1502" w:type="dxa"/>
            <w:shd w:val="clear" w:color="auto" w:fill="auto"/>
            <w:vAlign w:val="top"/>
          </w:tcPr>
          <w:p w:rsidR="00583ACC" w:rsidRPr="000C350F" w:rsidRDefault="00583ACC" w:rsidP="00F976CF">
            <w:pPr>
              <w:spacing w:after="60"/>
              <w:rPr>
                <w:b/>
              </w:rPr>
            </w:pPr>
            <w:r w:rsidRPr="000C350F">
              <w:rPr>
                <w:b/>
              </w:rPr>
              <w:t xml:space="preserve">18,864 </w:t>
            </w:r>
          </w:p>
        </w:tc>
      </w:tr>
    </w:tbl>
    <w:p w:rsidR="00B80DE3" w:rsidRPr="0069578E" w:rsidRDefault="00B80DE3"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Number of community outcomes achieved in ALNSW and ELNSW"/>
      </w:tblPr>
      <w:tblGrid>
        <w:gridCol w:w="5064"/>
        <w:gridCol w:w="1503"/>
        <w:gridCol w:w="1503"/>
        <w:gridCol w:w="1502"/>
      </w:tblGrid>
      <w:tr w:rsidR="000C350F" w:rsidRPr="000C350F" w:rsidTr="000C350F">
        <w:trPr>
          <w:cnfStyle w:val="100000000000" w:firstRow="1" w:lastRow="0" w:firstColumn="0" w:lastColumn="0" w:oddVBand="0" w:evenVBand="0" w:oddHBand="0" w:evenHBand="0" w:firstRowFirstColumn="0" w:firstRowLastColumn="0" w:lastRowFirstColumn="0" w:lastRowLastColumn="0"/>
          <w:tblHeader/>
        </w:trPr>
        <w:tc>
          <w:tcPr>
            <w:tcW w:w="506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0C350F" w:rsidRPr="000C350F" w:rsidRDefault="000C350F" w:rsidP="000C350F">
            <w:pPr>
              <w:spacing w:after="60"/>
              <w:rPr>
                <w:color w:val="auto"/>
              </w:rPr>
            </w:pPr>
            <w:bookmarkStart w:id="34" w:name="ColumnTitle_TableE1"/>
            <w:bookmarkStart w:id="35" w:name="ColumnTitle_TableE1b"/>
            <w:bookmarkEnd w:id="34"/>
            <w:bookmarkEnd w:id="35"/>
            <w:r w:rsidRPr="000C350F">
              <w:rPr>
                <w:b/>
                <w:color w:val="auto"/>
              </w:rPr>
              <w:t>Community outcomes</w:t>
            </w:r>
          </w:p>
        </w:tc>
        <w:tc>
          <w:tcPr>
            <w:tcW w:w="150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0C350F" w:rsidRPr="000C350F" w:rsidRDefault="000C350F" w:rsidP="00D803EE">
            <w:pPr>
              <w:spacing w:after="60"/>
              <w:rPr>
                <w:b/>
                <w:color w:val="auto"/>
              </w:rPr>
            </w:pPr>
            <w:r w:rsidRPr="000C350F">
              <w:rPr>
                <w:b/>
                <w:color w:val="auto"/>
              </w:rPr>
              <w:t>ALNSW</w:t>
            </w:r>
          </w:p>
        </w:tc>
        <w:tc>
          <w:tcPr>
            <w:tcW w:w="150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0C350F" w:rsidRPr="000C350F" w:rsidRDefault="000C350F" w:rsidP="00D803EE">
            <w:pPr>
              <w:spacing w:after="60"/>
              <w:rPr>
                <w:b/>
                <w:color w:val="auto"/>
              </w:rPr>
            </w:pPr>
            <w:r w:rsidRPr="000C350F">
              <w:rPr>
                <w:b/>
                <w:color w:val="auto"/>
              </w:rPr>
              <w:t>ELNSW</w:t>
            </w:r>
          </w:p>
        </w:tc>
        <w:tc>
          <w:tcPr>
            <w:tcW w:w="150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0C350F" w:rsidRPr="000C350F" w:rsidRDefault="000C350F" w:rsidP="00D803EE">
            <w:pPr>
              <w:spacing w:after="60"/>
              <w:rPr>
                <w:b/>
                <w:color w:val="auto"/>
              </w:rPr>
            </w:pPr>
            <w:r w:rsidRPr="000C350F">
              <w:rPr>
                <w:b/>
                <w:color w:val="auto"/>
              </w:rPr>
              <w:t>Total</w:t>
            </w:r>
          </w:p>
        </w:tc>
      </w:tr>
      <w:tr w:rsidR="000C350F" w:rsidRPr="000C350F" w:rsidTr="000C350F">
        <w:trPr>
          <w:cnfStyle w:val="000000100000" w:firstRow="0" w:lastRow="0" w:firstColumn="0" w:lastColumn="0" w:oddVBand="0" w:evenVBand="0" w:oddHBand="1" w:evenHBand="0" w:firstRowFirstColumn="0" w:firstRowLastColumn="0" w:lastRowFirstColumn="0" w:lastRowLastColumn="0"/>
        </w:trPr>
        <w:tc>
          <w:tcPr>
            <w:tcW w:w="5064" w:type="dxa"/>
            <w:shd w:val="clear" w:color="auto" w:fill="auto"/>
            <w:vAlign w:val="top"/>
          </w:tcPr>
          <w:p w:rsidR="000C350F" w:rsidRPr="000C350F" w:rsidRDefault="000C350F" w:rsidP="000C350F">
            <w:pPr>
              <w:spacing w:after="60"/>
            </w:pPr>
            <w:r w:rsidRPr="000C350F">
              <w:t>Physical and environmental accessibility</w:t>
            </w:r>
          </w:p>
        </w:tc>
        <w:tc>
          <w:tcPr>
            <w:tcW w:w="1503" w:type="dxa"/>
            <w:shd w:val="clear" w:color="auto" w:fill="auto"/>
            <w:vAlign w:val="top"/>
          </w:tcPr>
          <w:p w:rsidR="000C350F" w:rsidRPr="000C350F" w:rsidRDefault="000C350F" w:rsidP="00D803EE">
            <w:pPr>
              <w:spacing w:after="60"/>
            </w:pPr>
            <w:r w:rsidRPr="000C350F">
              <w:t xml:space="preserve">290 </w:t>
            </w:r>
          </w:p>
        </w:tc>
        <w:tc>
          <w:tcPr>
            <w:tcW w:w="1503" w:type="dxa"/>
            <w:shd w:val="clear" w:color="auto" w:fill="auto"/>
            <w:vAlign w:val="top"/>
          </w:tcPr>
          <w:p w:rsidR="000C350F" w:rsidRPr="000C350F" w:rsidRDefault="000C350F" w:rsidP="00D803EE">
            <w:pPr>
              <w:spacing w:after="60"/>
            </w:pPr>
            <w:r w:rsidRPr="000C350F">
              <w:t xml:space="preserve">164 </w:t>
            </w:r>
          </w:p>
        </w:tc>
        <w:tc>
          <w:tcPr>
            <w:tcW w:w="1502" w:type="dxa"/>
            <w:shd w:val="clear" w:color="auto" w:fill="auto"/>
            <w:vAlign w:val="top"/>
          </w:tcPr>
          <w:p w:rsidR="000C350F" w:rsidRPr="000C350F" w:rsidRDefault="000C350F" w:rsidP="00D803EE">
            <w:pPr>
              <w:spacing w:after="60"/>
            </w:pPr>
            <w:r w:rsidRPr="000C350F">
              <w:t xml:space="preserve">454 </w:t>
            </w:r>
          </w:p>
        </w:tc>
      </w:tr>
      <w:tr w:rsidR="000C350F" w:rsidRPr="000C350F" w:rsidTr="000C350F">
        <w:tc>
          <w:tcPr>
            <w:tcW w:w="5064" w:type="dxa"/>
            <w:vAlign w:val="top"/>
          </w:tcPr>
          <w:p w:rsidR="000C350F" w:rsidRPr="000C350F" w:rsidRDefault="000C350F" w:rsidP="000C350F">
            <w:pPr>
              <w:spacing w:after="60"/>
            </w:pPr>
            <w:r w:rsidRPr="000C350F">
              <w:t>Business practice/service improvement</w:t>
            </w:r>
          </w:p>
        </w:tc>
        <w:tc>
          <w:tcPr>
            <w:tcW w:w="1503" w:type="dxa"/>
            <w:vAlign w:val="top"/>
          </w:tcPr>
          <w:p w:rsidR="000C350F" w:rsidRPr="000C350F" w:rsidRDefault="000C350F" w:rsidP="00D803EE">
            <w:pPr>
              <w:spacing w:after="60"/>
            </w:pPr>
            <w:r w:rsidRPr="000C350F">
              <w:t xml:space="preserve">534 </w:t>
            </w:r>
          </w:p>
        </w:tc>
        <w:tc>
          <w:tcPr>
            <w:tcW w:w="1503" w:type="dxa"/>
            <w:vAlign w:val="top"/>
          </w:tcPr>
          <w:p w:rsidR="000C350F" w:rsidRPr="000C350F" w:rsidRDefault="000C350F" w:rsidP="00D803EE">
            <w:pPr>
              <w:spacing w:after="60"/>
            </w:pPr>
            <w:r w:rsidRPr="000C350F">
              <w:t xml:space="preserve">338 </w:t>
            </w:r>
          </w:p>
        </w:tc>
        <w:tc>
          <w:tcPr>
            <w:tcW w:w="1502" w:type="dxa"/>
            <w:vAlign w:val="top"/>
          </w:tcPr>
          <w:p w:rsidR="000C350F" w:rsidRPr="000C350F" w:rsidRDefault="000C350F" w:rsidP="00D803EE">
            <w:pPr>
              <w:spacing w:after="60"/>
            </w:pPr>
            <w:r w:rsidRPr="000C350F">
              <w:t xml:space="preserve">872 </w:t>
            </w:r>
          </w:p>
        </w:tc>
      </w:tr>
      <w:tr w:rsidR="000C350F" w:rsidRPr="000C350F" w:rsidTr="000C350F">
        <w:trPr>
          <w:cnfStyle w:val="000000100000" w:firstRow="0" w:lastRow="0" w:firstColumn="0" w:lastColumn="0" w:oddVBand="0" w:evenVBand="0" w:oddHBand="1" w:evenHBand="0" w:firstRowFirstColumn="0" w:firstRowLastColumn="0" w:lastRowFirstColumn="0" w:lastRowLastColumn="0"/>
        </w:trPr>
        <w:tc>
          <w:tcPr>
            <w:tcW w:w="5064" w:type="dxa"/>
            <w:shd w:val="clear" w:color="auto" w:fill="auto"/>
          </w:tcPr>
          <w:p w:rsidR="000C350F" w:rsidRPr="000C350F" w:rsidRDefault="000C350F" w:rsidP="000C350F">
            <w:pPr>
              <w:spacing w:after="60"/>
            </w:pPr>
            <w:r w:rsidRPr="000C350F">
              <w:t>Business/organisation leadership</w:t>
            </w:r>
          </w:p>
        </w:tc>
        <w:tc>
          <w:tcPr>
            <w:tcW w:w="1503" w:type="dxa"/>
            <w:shd w:val="clear" w:color="auto" w:fill="auto"/>
            <w:vAlign w:val="top"/>
          </w:tcPr>
          <w:p w:rsidR="000C350F" w:rsidRPr="000C350F" w:rsidRDefault="000C350F" w:rsidP="00D803EE">
            <w:pPr>
              <w:spacing w:after="60"/>
            </w:pPr>
            <w:r w:rsidRPr="000C350F">
              <w:t xml:space="preserve">458 </w:t>
            </w:r>
          </w:p>
        </w:tc>
        <w:tc>
          <w:tcPr>
            <w:tcW w:w="1503" w:type="dxa"/>
            <w:shd w:val="clear" w:color="auto" w:fill="auto"/>
            <w:vAlign w:val="top"/>
          </w:tcPr>
          <w:p w:rsidR="000C350F" w:rsidRPr="000C350F" w:rsidRDefault="000C350F" w:rsidP="00D803EE">
            <w:pPr>
              <w:spacing w:after="60"/>
            </w:pPr>
            <w:r w:rsidRPr="000C350F">
              <w:t xml:space="preserve">348 </w:t>
            </w:r>
          </w:p>
        </w:tc>
        <w:tc>
          <w:tcPr>
            <w:tcW w:w="1502" w:type="dxa"/>
            <w:shd w:val="clear" w:color="auto" w:fill="auto"/>
            <w:vAlign w:val="top"/>
          </w:tcPr>
          <w:p w:rsidR="000C350F" w:rsidRPr="000C350F" w:rsidRDefault="000C350F" w:rsidP="00D803EE">
            <w:pPr>
              <w:spacing w:after="60"/>
            </w:pPr>
            <w:r w:rsidRPr="000C350F">
              <w:t xml:space="preserve">806 </w:t>
            </w:r>
          </w:p>
        </w:tc>
      </w:tr>
      <w:tr w:rsidR="000C350F" w:rsidRPr="000C350F" w:rsidTr="000C350F">
        <w:tc>
          <w:tcPr>
            <w:tcW w:w="5064" w:type="dxa"/>
          </w:tcPr>
          <w:p w:rsidR="000C350F" w:rsidRPr="000C350F" w:rsidRDefault="000C350F" w:rsidP="000C350F">
            <w:pPr>
              <w:spacing w:after="60"/>
              <w:rPr>
                <w:b/>
              </w:rPr>
            </w:pPr>
            <w:r w:rsidRPr="000C350F">
              <w:rPr>
                <w:b/>
              </w:rPr>
              <w:t>Total all community outcomes</w:t>
            </w:r>
          </w:p>
        </w:tc>
        <w:tc>
          <w:tcPr>
            <w:tcW w:w="1503" w:type="dxa"/>
            <w:vAlign w:val="top"/>
          </w:tcPr>
          <w:p w:rsidR="000C350F" w:rsidRPr="000C350F" w:rsidRDefault="000C350F" w:rsidP="00D803EE">
            <w:pPr>
              <w:spacing w:after="60"/>
              <w:rPr>
                <w:b/>
              </w:rPr>
            </w:pPr>
            <w:r w:rsidRPr="000C350F">
              <w:rPr>
                <w:b/>
              </w:rPr>
              <w:t>1,282</w:t>
            </w:r>
          </w:p>
        </w:tc>
        <w:tc>
          <w:tcPr>
            <w:tcW w:w="1503" w:type="dxa"/>
            <w:vAlign w:val="top"/>
          </w:tcPr>
          <w:p w:rsidR="000C350F" w:rsidRPr="000C350F" w:rsidRDefault="000C350F" w:rsidP="00D803EE">
            <w:pPr>
              <w:spacing w:after="60"/>
              <w:rPr>
                <w:b/>
              </w:rPr>
            </w:pPr>
            <w:r w:rsidRPr="000C350F">
              <w:rPr>
                <w:b/>
              </w:rPr>
              <w:t xml:space="preserve">850 </w:t>
            </w:r>
          </w:p>
        </w:tc>
        <w:tc>
          <w:tcPr>
            <w:tcW w:w="1502" w:type="dxa"/>
            <w:vAlign w:val="top"/>
          </w:tcPr>
          <w:p w:rsidR="000C350F" w:rsidRPr="000C350F" w:rsidRDefault="000C350F" w:rsidP="00D803EE">
            <w:pPr>
              <w:spacing w:after="60"/>
              <w:rPr>
                <w:b/>
              </w:rPr>
            </w:pPr>
            <w:r w:rsidRPr="000C350F">
              <w:rPr>
                <w:b/>
              </w:rPr>
              <w:t>2,132</w:t>
            </w:r>
          </w:p>
        </w:tc>
      </w:tr>
    </w:tbl>
    <w:p w:rsidR="000C350F" w:rsidRPr="000C350F" w:rsidRDefault="000C350F" w:rsidP="000C350F">
      <w:pPr>
        <w:spacing w:after="60"/>
        <w:rPr>
          <w:sz w:val="18"/>
        </w:rPr>
      </w:pPr>
      <w:r w:rsidRPr="000C350F">
        <w:rPr>
          <w:sz w:val="18"/>
        </w:rPr>
        <w:t>* Based on data provided for January through June 2016</w:t>
      </w:r>
    </w:p>
    <w:p w:rsidR="000C350F" w:rsidRDefault="000C350F" w:rsidP="000C350F">
      <w:pPr>
        <w:spacing w:after="60"/>
        <w:rPr>
          <w:sz w:val="18"/>
        </w:rPr>
      </w:pPr>
      <w:r w:rsidRPr="000C350F">
        <w:rPr>
          <w:sz w:val="18"/>
        </w:rPr>
        <w:t>Source: NSW FACS</w:t>
      </w:r>
    </w:p>
    <w:p w:rsidR="00583ACC" w:rsidRPr="00994C7C" w:rsidRDefault="00583ACC" w:rsidP="00583ACC">
      <w:pPr>
        <w:pStyle w:val="Head2"/>
      </w:pPr>
      <w:bookmarkStart w:id="36" w:name="_Toc467133511"/>
      <w:r w:rsidRPr="00994C7C">
        <w:t>Methodology</w:t>
      </w:r>
      <w:bookmarkEnd w:id="36"/>
    </w:p>
    <w:p w:rsidR="00583ACC" w:rsidRPr="000C350F" w:rsidRDefault="00583ACC" w:rsidP="00583ACC">
      <w:r w:rsidRPr="000C350F">
        <w:t>In order to estimate the value of ALNSW and ELNSW, each outcome, whether recorded via NSW FACS outcomes data or identified from other sources (where FACS data did not provide enough detail, interviews and Urbis’ survey responses were used to develop outcomes), was assigned one or more benefits; as an example, participation in a social network for a previously isolated person could lead to improved community connectedness and self-esteem. Some outcomes share similar benefits, for example, self-esteem may be generated as a result of improved family functioning as well as volunteering.</w:t>
      </w:r>
    </w:p>
    <w:p w:rsidR="00583ACC" w:rsidRPr="000C350F" w:rsidRDefault="00583ACC" w:rsidP="00583ACC">
      <w:r w:rsidRPr="000C350F">
        <w:t xml:space="preserve">A number of benefits identified are clear and quantifiable economic benefits, for example increased participation in education and employment (including work experience and volunteering), new business activity, and increased consumer welfare for carers through a reduction in carer hours required. </w:t>
      </w:r>
    </w:p>
    <w:p w:rsidR="00583ACC" w:rsidRPr="000C350F" w:rsidRDefault="00583ACC" w:rsidP="00583ACC">
      <w:r w:rsidRPr="000C350F">
        <w:t xml:space="preserve">The nature and aims of ALNSW, however, imply that the larger number of benefits attributed to individuals will be social. </w:t>
      </w:r>
      <w:proofErr w:type="gramStart"/>
      <w:r w:rsidRPr="000C350F">
        <w:t>For example, greater links to, and participation in the community, leads to improved self</w:t>
      </w:r>
      <w:r w:rsidRPr="000C350F">
        <w:noBreakHyphen/>
        <w:t>esteem and social networks.</w:t>
      </w:r>
      <w:proofErr w:type="gramEnd"/>
    </w:p>
    <w:p w:rsidR="00583ACC" w:rsidRPr="000C350F" w:rsidRDefault="00583ACC" w:rsidP="00583ACC">
      <w:r w:rsidRPr="000C350F">
        <w:t xml:space="preserve">As the outcomes data provided by NSW FACS were not always specific enough </w:t>
      </w:r>
      <w:proofErr w:type="gramStart"/>
      <w:r w:rsidRPr="000C350F">
        <w:t>to</w:t>
      </w:r>
      <w:proofErr w:type="gramEnd"/>
      <w:r w:rsidRPr="000C350F">
        <w:t xml:space="preserve"> directly attribute benefits, certain assumptions were required regarding benefits. These assumptions were informed by surveys, interviews undertaken by Urbis, and a review of relevant literature.</w:t>
      </w:r>
    </w:p>
    <w:p w:rsidR="00583ACC" w:rsidRPr="000C350F" w:rsidRDefault="00583ACC" w:rsidP="00583ACC">
      <w:r w:rsidRPr="000C350F">
        <w:t>Only benefits resulting from individual outcomes have been modelled, as the detail of community outcomes recorded was not sufficient to accurately estimate benefits.</w:t>
      </w:r>
    </w:p>
    <w:p w:rsidR="00583ACC" w:rsidRPr="000C350F" w:rsidRDefault="00583ACC" w:rsidP="00583ACC">
      <w:r w:rsidRPr="000C350F">
        <w:t>In order to compare benefits that accrue over different time periods, all benefits are presented as a Net Present Value (NPV), which represents the value in today’s dollars of future years’ activity.</w:t>
      </w:r>
    </w:p>
    <w:p w:rsidR="00583ACC" w:rsidRPr="000C350F" w:rsidRDefault="00583ACC" w:rsidP="00583ACC">
      <w:r w:rsidRPr="000C350F">
        <w:t xml:space="preserve">Social Cost Benefit Analysis (CBA) was undertaken on ALNSW and ELNSW separately, and on the total program. Social CBA incorporates both economic and social parameters, and allows a monetary value to be placed on the social benefits that result from programs such as ALNSW and ELNSW, through the use of financial proxies. </w:t>
      </w:r>
    </w:p>
    <w:p w:rsidR="00583ACC" w:rsidRPr="000C350F" w:rsidRDefault="00583ACC" w:rsidP="00583ACC">
      <w:r w:rsidRPr="000C350F">
        <w:t>Outcomes data for Aboriginal participants were also provided by FACS. This allowed for an estimation of economic and social benefits and a Social CBA for the Aboriginal cohort only, using the same methodology used to estimate benefits for the whole cohort.</w:t>
      </w:r>
    </w:p>
    <w:p w:rsidR="00583ACC" w:rsidRPr="000C350F" w:rsidRDefault="00583ACC" w:rsidP="00583ACC">
      <w:r w:rsidRPr="000C350F">
        <w:lastRenderedPageBreak/>
        <w:t>Results are presented as a net benefit in NPV terms (total benefits minus total costs) and as a Benefit-Cost Ratio (</w:t>
      </w:r>
      <w:proofErr w:type="gramStart"/>
      <w:r w:rsidRPr="000C350F">
        <w:t>BCR),</w:t>
      </w:r>
      <w:proofErr w:type="gramEnd"/>
      <w:r w:rsidRPr="000C350F">
        <w:t xml:space="preserve"> or the ratio of benefits to costs.</w:t>
      </w:r>
    </w:p>
    <w:p w:rsidR="00583ACC" w:rsidRPr="00994C7C" w:rsidRDefault="00583ACC" w:rsidP="00583ACC">
      <w:pPr>
        <w:pStyle w:val="Head2"/>
      </w:pPr>
      <w:bookmarkStart w:id="37" w:name="_Toc467133512"/>
      <w:r w:rsidRPr="00994C7C">
        <w:t>Impact</w:t>
      </w:r>
      <w:bookmarkEnd w:id="37"/>
    </w:p>
    <w:p w:rsidR="00583ACC" w:rsidRPr="002644A8" w:rsidRDefault="00583ACC" w:rsidP="00583ACC">
      <w:r>
        <w:t xml:space="preserve">CBA results </w:t>
      </w:r>
      <w:r w:rsidRPr="002644A8">
        <w:t xml:space="preserve">are presented in </w:t>
      </w:r>
      <w:r>
        <w:fldChar w:fldCharType="begin"/>
      </w:r>
      <w:r>
        <w:instrText xml:space="preserve"> REF _Ref460422554 \h </w:instrText>
      </w:r>
      <w:r>
        <w:fldChar w:fldCharType="separate"/>
      </w:r>
      <w:r w:rsidR="00B80DE3" w:rsidRPr="00994C7C">
        <w:t>Table E–</w:t>
      </w:r>
      <w:r w:rsidR="00B80DE3">
        <w:rPr>
          <w:noProof/>
        </w:rPr>
        <w:t>2</w:t>
      </w:r>
      <w:r>
        <w:fldChar w:fldCharType="end"/>
      </w:r>
      <w:r>
        <w:t xml:space="preserve"> </w:t>
      </w:r>
      <w:r w:rsidR="00963F4C">
        <w:t>following</w:t>
      </w:r>
      <w:r w:rsidRPr="002644A8">
        <w:t xml:space="preserve"> for ALNSW, ELNSW and across the total program.</w:t>
      </w:r>
    </w:p>
    <w:p w:rsidR="00583ACC" w:rsidRPr="00994C7C" w:rsidRDefault="00583ACC" w:rsidP="00583ACC">
      <w:pPr>
        <w:pStyle w:val="Caption"/>
        <w:rPr>
          <w:sz w:val="20"/>
          <w:szCs w:val="20"/>
        </w:rPr>
      </w:pPr>
      <w:bookmarkStart w:id="38" w:name="_Ref460420029"/>
      <w:bookmarkStart w:id="39" w:name="_Ref460422554"/>
      <w:bookmarkStart w:id="40" w:name="_Toc466025143"/>
      <w:bookmarkStart w:id="41" w:name="_Toc467137546"/>
      <w:r w:rsidRPr="00994C7C">
        <w:rPr>
          <w:sz w:val="20"/>
          <w:szCs w:val="20"/>
        </w:rPr>
        <w:t>Table</w:t>
      </w:r>
      <w:r w:rsidR="00B03354">
        <w:rPr>
          <w:sz w:val="20"/>
          <w:szCs w:val="20"/>
        </w:rPr>
        <w:t>s</w:t>
      </w:r>
      <w:r w:rsidRPr="00994C7C">
        <w:rPr>
          <w:sz w:val="20"/>
          <w:szCs w:val="20"/>
        </w:rPr>
        <w:t xml:space="preserve"> E–</w:t>
      </w:r>
      <w:bookmarkEnd w:id="38"/>
      <w:r w:rsidRPr="00994C7C">
        <w:rPr>
          <w:sz w:val="20"/>
          <w:szCs w:val="20"/>
        </w:rPr>
        <w:fldChar w:fldCharType="begin"/>
      </w:r>
      <w:r w:rsidRPr="00994C7C">
        <w:rPr>
          <w:sz w:val="20"/>
          <w:szCs w:val="20"/>
        </w:rPr>
        <w:instrText xml:space="preserve"> SEQ Table \* ARABIC </w:instrText>
      </w:r>
      <w:r w:rsidRPr="00994C7C">
        <w:rPr>
          <w:sz w:val="20"/>
          <w:szCs w:val="20"/>
        </w:rPr>
        <w:fldChar w:fldCharType="separate"/>
      </w:r>
      <w:r w:rsidR="00B80DE3">
        <w:rPr>
          <w:noProof/>
          <w:sz w:val="20"/>
          <w:szCs w:val="20"/>
        </w:rPr>
        <w:t>2</w:t>
      </w:r>
      <w:r w:rsidRPr="00994C7C">
        <w:rPr>
          <w:sz w:val="20"/>
          <w:szCs w:val="20"/>
        </w:rPr>
        <w:fldChar w:fldCharType="end"/>
      </w:r>
      <w:bookmarkEnd w:id="39"/>
      <w:r w:rsidRPr="00994C7C">
        <w:rPr>
          <w:sz w:val="20"/>
          <w:szCs w:val="20"/>
        </w:rPr>
        <w:t xml:space="preserve"> – CBA results</w:t>
      </w:r>
      <w:bookmarkEnd w:id="40"/>
      <w:bookmarkEnd w:id="41"/>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social cost benefit analysis by ALNSW and ELNSW."/>
      </w:tblPr>
      <w:tblGrid>
        <w:gridCol w:w="3094"/>
        <w:gridCol w:w="2159"/>
        <w:gridCol w:w="2159"/>
        <w:gridCol w:w="2160"/>
      </w:tblGrid>
      <w:tr w:rsidR="000C350F" w:rsidRPr="000C350F" w:rsidTr="003852C7">
        <w:trPr>
          <w:cnfStyle w:val="100000000000" w:firstRow="1" w:lastRow="0" w:firstColumn="0" w:lastColumn="0" w:oddVBand="0" w:evenVBand="0" w:oddHBand="0" w:evenHBand="0" w:firstRowFirstColumn="0" w:firstRowLastColumn="0" w:lastRowFirstColumn="0" w:lastRowLastColumn="0"/>
          <w:tblHeader/>
        </w:trPr>
        <w:tc>
          <w:tcPr>
            <w:tcW w:w="309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583ACC" w:rsidRPr="0020039C" w:rsidRDefault="00D572B6" w:rsidP="0012750B">
            <w:pPr>
              <w:spacing w:after="60"/>
              <w:rPr>
                <w:b/>
                <w:color w:val="auto"/>
              </w:rPr>
            </w:pPr>
            <w:bookmarkStart w:id="42" w:name="ColumnTitle_TableE2a"/>
            <w:bookmarkStart w:id="43" w:name="ColumnTitle_TableE2a_header" w:colFirst="0" w:colLast="4"/>
            <w:bookmarkEnd w:id="42"/>
            <w:r>
              <w:rPr>
                <w:b/>
                <w:color w:val="auto"/>
              </w:rPr>
              <w:t>Item</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583ACC" w:rsidRPr="000C350F" w:rsidRDefault="00583ACC" w:rsidP="0012750B">
            <w:pPr>
              <w:spacing w:after="60"/>
              <w:rPr>
                <w:b/>
                <w:color w:val="auto"/>
              </w:rPr>
            </w:pPr>
            <w:r w:rsidRPr="000C350F">
              <w:rPr>
                <w:b/>
                <w:color w:val="auto"/>
              </w:rPr>
              <w:t>ALNSW</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583ACC" w:rsidRPr="000C350F" w:rsidRDefault="00583ACC" w:rsidP="0012750B">
            <w:pPr>
              <w:spacing w:after="60"/>
              <w:rPr>
                <w:b/>
                <w:color w:val="auto"/>
              </w:rPr>
            </w:pPr>
            <w:r w:rsidRPr="000C350F">
              <w:rPr>
                <w:b/>
                <w:color w:val="auto"/>
              </w:rPr>
              <w:t>ELNSW</w:t>
            </w:r>
          </w:p>
        </w:tc>
        <w:tc>
          <w:tcPr>
            <w:tcW w:w="21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583ACC" w:rsidRPr="000C350F" w:rsidRDefault="00583ACC" w:rsidP="0012750B">
            <w:pPr>
              <w:spacing w:after="60"/>
              <w:rPr>
                <w:b/>
                <w:color w:val="auto"/>
              </w:rPr>
            </w:pPr>
            <w:r w:rsidRPr="000C350F">
              <w:rPr>
                <w:b/>
                <w:color w:val="auto"/>
              </w:rPr>
              <w:t>Total</w:t>
            </w:r>
          </w:p>
        </w:tc>
      </w:tr>
      <w:bookmarkEnd w:id="43"/>
      <w:tr w:rsidR="000C350F" w:rsidRPr="000C350F" w:rsidTr="0020039C">
        <w:trPr>
          <w:cnfStyle w:val="000000100000" w:firstRow="0" w:lastRow="0" w:firstColumn="0" w:lastColumn="0" w:oddVBand="0" w:evenVBand="0" w:oddHBand="1" w:evenHBand="0" w:firstRowFirstColumn="0" w:firstRowLastColumn="0" w:lastRowFirstColumn="0" w:lastRowLastColumn="0"/>
        </w:trPr>
        <w:tc>
          <w:tcPr>
            <w:tcW w:w="3094" w:type="dxa"/>
            <w:tcBorders>
              <w:top w:val="single" w:sz="18" w:space="0" w:color="808080" w:themeColor="background1" w:themeShade="80"/>
            </w:tcBorders>
            <w:shd w:val="clear" w:color="auto" w:fill="auto"/>
            <w:vAlign w:val="center"/>
          </w:tcPr>
          <w:p w:rsidR="00583ACC" w:rsidRPr="000C350F" w:rsidRDefault="00583ACC" w:rsidP="0012750B">
            <w:pPr>
              <w:spacing w:after="60"/>
            </w:pPr>
            <w:r w:rsidRPr="000C350F">
              <w:t>Economic benefits (NPV)</w:t>
            </w:r>
          </w:p>
        </w:tc>
        <w:tc>
          <w:tcPr>
            <w:tcW w:w="2159" w:type="dxa"/>
            <w:tcBorders>
              <w:top w:val="single" w:sz="18" w:space="0" w:color="808080" w:themeColor="background1" w:themeShade="80"/>
            </w:tcBorders>
            <w:shd w:val="clear" w:color="auto" w:fill="auto"/>
            <w:vAlign w:val="center"/>
          </w:tcPr>
          <w:p w:rsidR="00583ACC" w:rsidRPr="000C350F" w:rsidRDefault="00583ACC" w:rsidP="0012750B">
            <w:pPr>
              <w:spacing w:after="60"/>
            </w:pPr>
            <w:r w:rsidRPr="000C350F">
              <w:t>$29.9m</w:t>
            </w:r>
          </w:p>
        </w:tc>
        <w:tc>
          <w:tcPr>
            <w:tcW w:w="2159" w:type="dxa"/>
            <w:tcBorders>
              <w:top w:val="single" w:sz="18" w:space="0" w:color="808080" w:themeColor="background1" w:themeShade="80"/>
            </w:tcBorders>
            <w:shd w:val="clear" w:color="auto" w:fill="auto"/>
            <w:vAlign w:val="center"/>
          </w:tcPr>
          <w:p w:rsidR="00583ACC" w:rsidRPr="000C350F" w:rsidRDefault="00583ACC" w:rsidP="00330772">
            <w:pPr>
              <w:spacing w:after="60"/>
            </w:pPr>
            <w:r w:rsidRPr="000C350F">
              <w:t>$16.</w:t>
            </w:r>
            <w:r w:rsidR="00330772">
              <w:t>0</w:t>
            </w:r>
            <w:r w:rsidRPr="000C350F">
              <w:t>m</w:t>
            </w:r>
          </w:p>
        </w:tc>
        <w:tc>
          <w:tcPr>
            <w:tcW w:w="2160" w:type="dxa"/>
            <w:tcBorders>
              <w:top w:val="single" w:sz="18" w:space="0" w:color="808080" w:themeColor="background1" w:themeShade="80"/>
            </w:tcBorders>
            <w:shd w:val="clear" w:color="auto" w:fill="auto"/>
            <w:vAlign w:val="center"/>
          </w:tcPr>
          <w:p w:rsidR="00583ACC" w:rsidRPr="000C350F" w:rsidRDefault="00583ACC" w:rsidP="00330772">
            <w:pPr>
              <w:spacing w:after="60"/>
            </w:pPr>
            <w:r w:rsidRPr="000C350F">
              <w:t>$4</w:t>
            </w:r>
            <w:r w:rsidR="00330772">
              <w:t>5.8</w:t>
            </w:r>
            <w:r w:rsidRPr="000C350F">
              <w:t>m</w:t>
            </w:r>
          </w:p>
        </w:tc>
      </w:tr>
      <w:tr w:rsidR="000C350F" w:rsidRPr="000C350F" w:rsidTr="0020039C">
        <w:tc>
          <w:tcPr>
            <w:tcW w:w="3094" w:type="dxa"/>
            <w:vAlign w:val="center"/>
          </w:tcPr>
          <w:p w:rsidR="00583ACC" w:rsidRPr="000C350F" w:rsidRDefault="00583ACC" w:rsidP="0012750B">
            <w:pPr>
              <w:spacing w:after="60"/>
            </w:pPr>
            <w:r w:rsidRPr="000C350F">
              <w:t>Social benefits (NPV)</w:t>
            </w:r>
          </w:p>
        </w:tc>
        <w:tc>
          <w:tcPr>
            <w:tcW w:w="2159" w:type="dxa"/>
            <w:vAlign w:val="center"/>
          </w:tcPr>
          <w:p w:rsidR="00583ACC" w:rsidRPr="000C350F" w:rsidRDefault="00583ACC" w:rsidP="0012750B">
            <w:pPr>
              <w:spacing w:after="60"/>
            </w:pPr>
            <w:r w:rsidRPr="000C350F">
              <w:t>$48.1m</w:t>
            </w:r>
          </w:p>
        </w:tc>
        <w:tc>
          <w:tcPr>
            <w:tcW w:w="2159" w:type="dxa"/>
            <w:vAlign w:val="center"/>
          </w:tcPr>
          <w:p w:rsidR="00583ACC" w:rsidRPr="000C350F" w:rsidRDefault="00583ACC" w:rsidP="0012750B">
            <w:pPr>
              <w:spacing w:after="60"/>
            </w:pPr>
            <w:r w:rsidRPr="000C350F">
              <w:t>$33.4m</w:t>
            </w:r>
          </w:p>
        </w:tc>
        <w:tc>
          <w:tcPr>
            <w:tcW w:w="2160" w:type="dxa"/>
            <w:vAlign w:val="center"/>
          </w:tcPr>
          <w:p w:rsidR="00583ACC" w:rsidRPr="000C350F" w:rsidRDefault="00583ACC" w:rsidP="0012750B">
            <w:pPr>
              <w:spacing w:after="60"/>
            </w:pPr>
            <w:r w:rsidRPr="000C350F">
              <w:t>$81.5m</w:t>
            </w:r>
          </w:p>
        </w:tc>
      </w:tr>
      <w:tr w:rsidR="000C350F" w:rsidRPr="000C350F" w:rsidTr="0020039C">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vAlign w:val="center"/>
          </w:tcPr>
          <w:p w:rsidR="00583ACC" w:rsidRPr="000C350F" w:rsidRDefault="00583ACC" w:rsidP="0012750B">
            <w:pPr>
              <w:spacing w:after="60"/>
              <w:rPr>
                <w:b/>
              </w:rPr>
            </w:pPr>
            <w:r w:rsidRPr="000C350F">
              <w:rPr>
                <w:b/>
              </w:rPr>
              <w:t>Total benefits (NPV)</w:t>
            </w:r>
          </w:p>
        </w:tc>
        <w:tc>
          <w:tcPr>
            <w:tcW w:w="2159" w:type="dxa"/>
            <w:shd w:val="clear" w:color="auto" w:fill="auto"/>
            <w:vAlign w:val="center"/>
          </w:tcPr>
          <w:p w:rsidR="00583ACC" w:rsidRPr="000C350F" w:rsidRDefault="00583ACC" w:rsidP="0012750B">
            <w:pPr>
              <w:spacing w:after="60"/>
              <w:rPr>
                <w:b/>
              </w:rPr>
            </w:pPr>
            <w:r w:rsidRPr="000C350F">
              <w:rPr>
                <w:b/>
              </w:rPr>
              <w:t>$78.1m</w:t>
            </w:r>
          </w:p>
        </w:tc>
        <w:tc>
          <w:tcPr>
            <w:tcW w:w="2159" w:type="dxa"/>
            <w:shd w:val="clear" w:color="auto" w:fill="auto"/>
            <w:vAlign w:val="center"/>
          </w:tcPr>
          <w:p w:rsidR="00583ACC" w:rsidRPr="000C350F" w:rsidRDefault="00583ACC" w:rsidP="00330772">
            <w:pPr>
              <w:spacing w:after="60"/>
              <w:rPr>
                <w:b/>
              </w:rPr>
            </w:pPr>
            <w:r w:rsidRPr="000C350F">
              <w:rPr>
                <w:b/>
              </w:rPr>
              <w:t>$49.</w:t>
            </w:r>
            <w:r w:rsidR="00330772">
              <w:rPr>
                <w:b/>
              </w:rPr>
              <w:t>3</w:t>
            </w:r>
            <w:r w:rsidRPr="000C350F">
              <w:rPr>
                <w:b/>
              </w:rPr>
              <w:t>m</w:t>
            </w:r>
          </w:p>
        </w:tc>
        <w:tc>
          <w:tcPr>
            <w:tcW w:w="2160" w:type="dxa"/>
            <w:shd w:val="clear" w:color="auto" w:fill="auto"/>
            <w:vAlign w:val="center"/>
          </w:tcPr>
          <w:p w:rsidR="00583ACC" w:rsidRPr="000C350F" w:rsidRDefault="00330772" w:rsidP="0012750B">
            <w:pPr>
              <w:spacing w:after="60"/>
              <w:rPr>
                <w:b/>
              </w:rPr>
            </w:pPr>
            <w:r>
              <w:rPr>
                <w:b/>
              </w:rPr>
              <w:t>$127.3</w:t>
            </w:r>
            <w:r w:rsidR="00583ACC" w:rsidRPr="000C350F">
              <w:rPr>
                <w:b/>
              </w:rPr>
              <w:t>m</w:t>
            </w:r>
          </w:p>
        </w:tc>
      </w:tr>
      <w:tr w:rsidR="000C350F" w:rsidRPr="000C350F" w:rsidTr="0020039C">
        <w:tc>
          <w:tcPr>
            <w:tcW w:w="3094" w:type="dxa"/>
            <w:vAlign w:val="center"/>
          </w:tcPr>
          <w:p w:rsidR="00583ACC" w:rsidRPr="000C350F" w:rsidRDefault="00583ACC" w:rsidP="0012750B">
            <w:pPr>
              <w:spacing w:after="60"/>
            </w:pPr>
            <w:r w:rsidRPr="000C350F">
              <w:t>Total costs (NPV)</w:t>
            </w:r>
          </w:p>
        </w:tc>
        <w:tc>
          <w:tcPr>
            <w:tcW w:w="2159" w:type="dxa"/>
            <w:vAlign w:val="center"/>
          </w:tcPr>
          <w:p w:rsidR="00583ACC" w:rsidRPr="000C350F" w:rsidRDefault="00583ACC" w:rsidP="0012750B">
            <w:pPr>
              <w:spacing w:after="60"/>
            </w:pPr>
            <w:r w:rsidRPr="000C350F">
              <w:t>$32.8m</w:t>
            </w:r>
          </w:p>
        </w:tc>
        <w:tc>
          <w:tcPr>
            <w:tcW w:w="2159" w:type="dxa"/>
            <w:vAlign w:val="center"/>
          </w:tcPr>
          <w:p w:rsidR="00583ACC" w:rsidRPr="000C350F" w:rsidRDefault="00583ACC" w:rsidP="0012750B">
            <w:pPr>
              <w:spacing w:after="60"/>
            </w:pPr>
            <w:r w:rsidRPr="000C350F">
              <w:t>$9.7m</w:t>
            </w:r>
          </w:p>
        </w:tc>
        <w:tc>
          <w:tcPr>
            <w:tcW w:w="2160" w:type="dxa"/>
            <w:vAlign w:val="center"/>
          </w:tcPr>
          <w:p w:rsidR="00583ACC" w:rsidRPr="000C350F" w:rsidRDefault="00583ACC" w:rsidP="0012750B">
            <w:pPr>
              <w:spacing w:after="60"/>
            </w:pPr>
            <w:r w:rsidRPr="000C350F">
              <w:t>$42.5m</w:t>
            </w:r>
          </w:p>
        </w:tc>
      </w:tr>
      <w:tr w:rsidR="000C350F" w:rsidRPr="000C350F" w:rsidTr="0020039C">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vAlign w:val="center"/>
          </w:tcPr>
          <w:p w:rsidR="00583ACC" w:rsidRPr="000C350F" w:rsidRDefault="00583ACC" w:rsidP="0012750B">
            <w:pPr>
              <w:spacing w:after="60"/>
              <w:rPr>
                <w:b/>
              </w:rPr>
            </w:pPr>
            <w:r w:rsidRPr="000C350F">
              <w:rPr>
                <w:b/>
              </w:rPr>
              <w:t>Net benefit (all benefits)</w:t>
            </w:r>
          </w:p>
        </w:tc>
        <w:tc>
          <w:tcPr>
            <w:tcW w:w="2159" w:type="dxa"/>
            <w:shd w:val="clear" w:color="auto" w:fill="auto"/>
            <w:vAlign w:val="center"/>
          </w:tcPr>
          <w:p w:rsidR="00583ACC" w:rsidRPr="000C350F" w:rsidRDefault="00583ACC" w:rsidP="00330772">
            <w:pPr>
              <w:spacing w:after="60"/>
              <w:rPr>
                <w:b/>
              </w:rPr>
            </w:pPr>
            <w:r w:rsidRPr="000C350F">
              <w:rPr>
                <w:b/>
              </w:rPr>
              <w:t>$45.</w:t>
            </w:r>
            <w:r w:rsidR="00330772">
              <w:rPr>
                <w:b/>
              </w:rPr>
              <w:t>2</w:t>
            </w:r>
            <w:r w:rsidRPr="000C350F">
              <w:rPr>
                <w:b/>
              </w:rPr>
              <w:t>m</w:t>
            </w:r>
          </w:p>
        </w:tc>
        <w:tc>
          <w:tcPr>
            <w:tcW w:w="2159" w:type="dxa"/>
            <w:shd w:val="clear" w:color="auto" w:fill="auto"/>
            <w:vAlign w:val="center"/>
          </w:tcPr>
          <w:p w:rsidR="00583ACC" w:rsidRPr="000C350F" w:rsidRDefault="00330772" w:rsidP="0012750B">
            <w:pPr>
              <w:spacing w:after="60"/>
              <w:rPr>
                <w:b/>
              </w:rPr>
            </w:pPr>
            <w:r>
              <w:rPr>
                <w:b/>
              </w:rPr>
              <w:t>$39.7</w:t>
            </w:r>
            <w:r w:rsidR="00583ACC" w:rsidRPr="000C350F">
              <w:rPr>
                <w:b/>
              </w:rPr>
              <w:t>m</w:t>
            </w:r>
          </w:p>
        </w:tc>
        <w:tc>
          <w:tcPr>
            <w:tcW w:w="2160" w:type="dxa"/>
            <w:shd w:val="clear" w:color="auto" w:fill="auto"/>
            <w:vAlign w:val="center"/>
          </w:tcPr>
          <w:p w:rsidR="00583ACC" w:rsidRPr="000C350F" w:rsidRDefault="00330772" w:rsidP="0012750B">
            <w:pPr>
              <w:spacing w:after="60"/>
              <w:rPr>
                <w:b/>
              </w:rPr>
            </w:pPr>
            <w:r>
              <w:rPr>
                <w:b/>
              </w:rPr>
              <w:t>$84.9</w:t>
            </w:r>
            <w:r w:rsidR="00583ACC" w:rsidRPr="000C350F">
              <w:rPr>
                <w:b/>
              </w:rPr>
              <w:t>m</w:t>
            </w:r>
          </w:p>
        </w:tc>
      </w:tr>
    </w:tbl>
    <w:p w:rsidR="0020039C" w:rsidRPr="0069578E" w:rsidRDefault="0020039C"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Details of the benefit-cost ratio for ALNSW and ELNSW."/>
      </w:tblPr>
      <w:tblGrid>
        <w:gridCol w:w="3094"/>
        <w:gridCol w:w="2159"/>
        <w:gridCol w:w="2159"/>
        <w:gridCol w:w="2160"/>
      </w:tblGrid>
      <w:tr w:rsidR="0020039C" w:rsidRPr="000C350F" w:rsidTr="001D2934">
        <w:trPr>
          <w:cnfStyle w:val="100000000000" w:firstRow="1" w:lastRow="0" w:firstColumn="0" w:lastColumn="0" w:oddVBand="0" w:evenVBand="0" w:oddHBand="0" w:evenHBand="0" w:firstRowFirstColumn="0" w:firstRowLastColumn="0" w:lastRowFirstColumn="0" w:lastRowLastColumn="0"/>
          <w:tblHeader/>
        </w:trPr>
        <w:tc>
          <w:tcPr>
            <w:tcW w:w="309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20039C" w:rsidRPr="0020039C" w:rsidRDefault="0020039C" w:rsidP="0012750B">
            <w:pPr>
              <w:spacing w:after="60"/>
              <w:rPr>
                <w:b/>
                <w:color w:val="auto"/>
              </w:rPr>
            </w:pPr>
            <w:bookmarkStart w:id="44" w:name="ColumnTitle_TableE2"/>
            <w:bookmarkStart w:id="45" w:name="ColumnTitle_TableE2b"/>
            <w:bookmarkStart w:id="46" w:name="ColumnTitle_TableE2b_header" w:colFirst="0" w:colLast="3"/>
            <w:bookmarkEnd w:id="44"/>
            <w:bookmarkEnd w:id="45"/>
            <w:r w:rsidRPr="0020039C">
              <w:rPr>
                <w:b/>
                <w:color w:val="auto"/>
              </w:rPr>
              <w:t>BCR</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20039C" w:rsidRPr="000C350F" w:rsidRDefault="0020039C" w:rsidP="0012750B">
            <w:pPr>
              <w:spacing w:after="60"/>
              <w:rPr>
                <w:b/>
                <w:color w:val="auto"/>
              </w:rPr>
            </w:pPr>
            <w:r w:rsidRPr="000C350F">
              <w:rPr>
                <w:b/>
                <w:color w:val="auto"/>
              </w:rPr>
              <w:t>ALNSW</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20039C" w:rsidRPr="000C350F" w:rsidRDefault="0020039C" w:rsidP="0012750B">
            <w:pPr>
              <w:spacing w:after="60"/>
              <w:rPr>
                <w:b/>
                <w:color w:val="auto"/>
              </w:rPr>
            </w:pPr>
            <w:r w:rsidRPr="000C350F">
              <w:rPr>
                <w:b/>
                <w:color w:val="auto"/>
              </w:rPr>
              <w:t>ELNSW</w:t>
            </w:r>
          </w:p>
        </w:tc>
        <w:tc>
          <w:tcPr>
            <w:tcW w:w="21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20039C" w:rsidRPr="000C350F" w:rsidRDefault="0020039C" w:rsidP="0012750B">
            <w:pPr>
              <w:spacing w:after="60"/>
              <w:rPr>
                <w:b/>
                <w:color w:val="auto"/>
              </w:rPr>
            </w:pPr>
            <w:r w:rsidRPr="000C350F">
              <w:rPr>
                <w:b/>
                <w:color w:val="auto"/>
              </w:rPr>
              <w:t>Total</w:t>
            </w:r>
          </w:p>
        </w:tc>
      </w:tr>
      <w:bookmarkEnd w:id="46"/>
      <w:tr w:rsidR="0020039C" w:rsidRPr="000C350F" w:rsidTr="0020039C">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tcPr>
          <w:p w:rsidR="0020039C" w:rsidRPr="000C350F" w:rsidRDefault="0020039C" w:rsidP="0012750B">
            <w:pPr>
              <w:spacing w:after="60"/>
              <w:rPr>
                <w:b/>
              </w:rPr>
            </w:pPr>
            <w:r w:rsidRPr="000C350F">
              <w:rPr>
                <w:b/>
              </w:rPr>
              <w:t>Total benefits</w:t>
            </w:r>
          </w:p>
        </w:tc>
        <w:tc>
          <w:tcPr>
            <w:tcW w:w="2159" w:type="dxa"/>
            <w:shd w:val="clear" w:color="auto" w:fill="auto"/>
            <w:vAlign w:val="top"/>
          </w:tcPr>
          <w:p w:rsidR="0020039C" w:rsidRPr="000C350F" w:rsidRDefault="0020039C" w:rsidP="0012750B">
            <w:pPr>
              <w:spacing w:after="60"/>
              <w:rPr>
                <w:b/>
              </w:rPr>
            </w:pPr>
            <w:r w:rsidRPr="000C350F">
              <w:rPr>
                <w:b/>
              </w:rPr>
              <w:t>2.4</w:t>
            </w:r>
          </w:p>
        </w:tc>
        <w:tc>
          <w:tcPr>
            <w:tcW w:w="2159" w:type="dxa"/>
            <w:shd w:val="clear" w:color="auto" w:fill="auto"/>
            <w:vAlign w:val="top"/>
          </w:tcPr>
          <w:p w:rsidR="0020039C" w:rsidRPr="000C350F" w:rsidRDefault="0020039C" w:rsidP="0012750B">
            <w:pPr>
              <w:spacing w:after="60"/>
              <w:rPr>
                <w:b/>
              </w:rPr>
            </w:pPr>
            <w:r w:rsidRPr="000C350F">
              <w:rPr>
                <w:b/>
              </w:rPr>
              <w:t>5.1</w:t>
            </w:r>
          </w:p>
        </w:tc>
        <w:tc>
          <w:tcPr>
            <w:tcW w:w="2160" w:type="dxa"/>
            <w:shd w:val="clear" w:color="auto" w:fill="auto"/>
            <w:vAlign w:val="top"/>
          </w:tcPr>
          <w:p w:rsidR="0020039C" w:rsidRPr="000C350F" w:rsidRDefault="0020039C" w:rsidP="0012750B">
            <w:pPr>
              <w:spacing w:after="60"/>
              <w:rPr>
                <w:b/>
              </w:rPr>
            </w:pPr>
            <w:r w:rsidRPr="000C350F">
              <w:rPr>
                <w:b/>
              </w:rPr>
              <w:t>3.0</w:t>
            </w:r>
          </w:p>
        </w:tc>
      </w:tr>
      <w:tr w:rsidR="0020039C" w:rsidRPr="000C350F" w:rsidTr="0020039C">
        <w:tc>
          <w:tcPr>
            <w:tcW w:w="3094" w:type="dxa"/>
          </w:tcPr>
          <w:p w:rsidR="0020039C" w:rsidRPr="000C350F" w:rsidRDefault="0020039C" w:rsidP="0012750B">
            <w:pPr>
              <w:spacing w:after="60"/>
            </w:pPr>
            <w:r w:rsidRPr="000C350F">
              <w:t>Economic benefits only</w:t>
            </w:r>
          </w:p>
        </w:tc>
        <w:tc>
          <w:tcPr>
            <w:tcW w:w="2159" w:type="dxa"/>
            <w:vAlign w:val="top"/>
          </w:tcPr>
          <w:p w:rsidR="0020039C" w:rsidRPr="000C350F" w:rsidRDefault="0020039C" w:rsidP="0012750B">
            <w:pPr>
              <w:spacing w:after="60"/>
            </w:pPr>
            <w:r w:rsidRPr="000C350F">
              <w:t>0.9</w:t>
            </w:r>
          </w:p>
        </w:tc>
        <w:tc>
          <w:tcPr>
            <w:tcW w:w="2159" w:type="dxa"/>
            <w:vAlign w:val="top"/>
          </w:tcPr>
          <w:p w:rsidR="0020039C" w:rsidRPr="000C350F" w:rsidRDefault="0020039C" w:rsidP="0012750B">
            <w:pPr>
              <w:spacing w:after="60"/>
            </w:pPr>
            <w:r w:rsidRPr="000C350F">
              <w:t>1.7</w:t>
            </w:r>
          </w:p>
        </w:tc>
        <w:tc>
          <w:tcPr>
            <w:tcW w:w="2160" w:type="dxa"/>
            <w:vAlign w:val="top"/>
          </w:tcPr>
          <w:p w:rsidR="0020039C" w:rsidRPr="000C350F" w:rsidRDefault="0020039C" w:rsidP="0012750B">
            <w:pPr>
              <w:spacing w:after="60"/>
            </w:pPr>
            <w:r w:rsidRPr="000C350F">
              <w:t>1.1</w:t>
            </w:r>
          </w:p>
        </w:tc>
      </w:tr>
    </w:tbl>
    <w:p w:rsidR="0020039C" w:rsidRPr="000C350F" w:rsidRDefault="0020039C" w:rsidP="0020039C">
      <w:pPr>
        <w:rPr>
          <w:sz w:val="18"/>
        </w:rPr>
      </w:pPr>
      <w:r w:rsidRPr="000C350F">
        <w:rPr>
          <w:sz w:val="18"/>
        </w:rPr>
        <w:t xml:space="preserve">Note: totals may not add due to rounding. The results were derived using a real discount rate of 7%. </w:t>
      </w:r>
    </w:p>
    <w:p w:rsidR="00583ACC" w:rsidRPr="0020039C" w:rsidRDefault="00583ACC" w:rsidP="00583ACC">
      <w:r w:rsidRPr="0020039C">
        <w:t>The BCR in the current report is much greater than what was predicted in the 2015 report. In the 2015 report, benefits estimated for 2015-16 totalled $47.8 million (NPV), with a BCR of 1.6. In the current report, benefits for o</w:t>
      </w:r>
      <w:r w:rsidR="00330772">
        <w:t>ne year were estimated at $127.3</w:t>
      </w:r>
      <w:r w:rsidRPr="0020039C">
        <w:t xml:space="preserve">million (NPV), with a BCR of 3.0. </w:t>
      </w:r>
    </w:p>
    <w:p w:rsidR="00583ACC" w:rsidRPr="0020039C" w:rsidRDefault="00583ACC" w:rsidP="00583ACC">
      <w:r w:rsidRPr="0020039C">
        <w:t xml:space="preserve">There are three main drivers underpinning the significant differences between reports: </w:t>
      </w:r>
    </w:p>
    <w:p w:rsidR="00583ACC" w:rsidRPr="0020039C" w:rsidRDefault="00583ACC" w:rsidP="00D43846">
      <w:pPr>
        <w:pStyle w:val="ListBullet"/>
        <w:numPr>
          <w:ilvl w:val="0"/>
          <w:numId w:val="14"/>
        </w:numPr>
        <w:rPr>
          <w:color w:val="auto"/>
        </w:rPr>
      </w:pPr>
      <w:r w:rsidRPr="0020039C">
        <w:rPr>
          <w:color w:val="auto"/>
        </w:rPr>
        <w:t>the addition of ELNSW (which has delivered greater benefits than costs)</w:t>
      </w:r>
    </w:p>
    <w:p w:rsidR="00583ACC" w:rsidRPr="0020039C" w:rsidRDefault="00583ACC" w:rsidP="00D43846">
      <w:pPr>
        <w:pStyle w:val="ListBullet"/>
        <w:numPr>
          <w:ilvl w:val="0"/>
          <w:numId w:val="14"/>
        </w:numPr>
        <w:rPr>
          <w:color w:val="auto"/>
        </w:rPr>
      </w:pPr>
      <w:r w:rsidRPr="0020039C">
        <w:rPr>
          <w:color w:val="auto"/>
        </w:rPr>
        <w:t>the program is now well</w:t>
      </w:r>
      <w:r w:rsidRPr="0020039C">
        <w:rPr>
          <w:color w:val="auto"/>
        </w:rPr>
        <w:noBreakHyphen/>
        <w:t xml:space="preserve">established across NSW, so that Linkers are able to assist in delivering more outcomes for more people </w:t>
      </w:r>
    </w:p>
    <w:p w:rsidR="00583ACC" w:rsidRPr="0020039C" w:rsidRDefault="00583ACC" w:rsidP="00D43846">
      <w:pPr>
        <w:pStyle w:val="ListBullet"/>
        <w:numPr>
          <w:ilvl w:val="0"/>
          <w:numId w:val="14"/>
        </w:numPr>
        <w:rPr>
          <w:color w:val="auto"/>
        </w:rPr>
      </w:pPr>
      <w:proofErr w:type="gramStart"/>
      <w:r w:rsidRPr="0020039C">
        <w:rPr>
          <w:color w:val="auto"/>
        </w:rPr>
        <w:t>the</w:t>
      </w:r>
      <w:proofErr w:type="gramEnd"/>
      <w:r w:rsidRPr="0020039C">
        <w:rPr>
          <w:color w:val="auto"/>
        </w:rPr>
        <w:t xml:space="preserve"> availability of more detailed outcomes.</w:t>
      </w:r>
    </w:p>
    <w:p w:rsidR="00583ACC" w:rsidRPr="0020039C" w:rsidRDefault="00583ACC" w:rsidP="00583ACC">
      <w:r w:rsidRPr="0020039C">
        <w:t xml:space="preserve">Comparing each program separately, ELNSW has a BCR of 5.1, much larger than the ALNSW BCR of 2.4, predominately due to cost factors. Costs are split by the proportion of Linkers, and ALNSW has a much greater ratio of Linkers to engaged participants than ELNSW. In other words, ELNSW is getting more economic and social value per outcome for each Linker. This means that the cost per outcome, and therefore cost per benefit, for ALNSW is higher, resulting in a lower BCR relative to ELNSW. </w:t>
      </w:r>
    </w:p>
    <w:p w:rsidR="00583ACC" w:rsidRPr="0020039C" w:rsidRDefault="00583ACC" w:rsidP="0020039C">
      <w:pPr>
        <w:spacing w:before="0" w:after="0"/>
        <w:rPr>
          <w:rFonts w:cs="Courier New"/>
          <w:b/>
          <w:bCs/>
          <w:color w:val="404040"/>
          <w:sz w:val="16"/>
          <w:szCs w:val="16"/>
        </w:rPr>
      </w:pPr>
      <w:r w:rsidRPr="0020039C">
        <w:t xml:space="preserve">A Social CBA was also performed looking at Aboriginal participants only, with a combined BCR for both ALNSW and ELNSW of at 3.9, somewhat higher than the 3.0 recorded for all participants. BCRs for both ALNSW and ELNSW for Aboriginal participants were also higher than those recorded for the program as a whole, as shown in </w:t>
      </w:r>
      <w:r w:rsidRPr="0020039C">
        <w:fldChar w:fldCharType="begin"/>
      </w:r>
      <w:r w:rsidRPr="0020039C">
        <w:instrText xml:space="preserve"> REF _Ref462998195 \h </w:instrText>
      </w:r>
      <w:r w:rsidRPr="0020039C">
        <w:fldChar w:fldCharType="separate"/>
      </w:r>
      <w:r w:rsidR="00B80DE3" w:rsidRPr="00994C7C">
        <w:t>Table E–</w:t>
      </w:r>
      <w:r w:rsidR="00B80DE3">
        <w:rPr>
          <w:noProof/>
        </w:rPr>
        <w:t>3</w:t>
      </w:r>
      <w:r w:rsidRPr="0020039C">
        <w:fldChar w:fldCharType="end"/>
      </w:r>
      <w:r w:rsidRPr="0020039C">
        <w:t>. BCRs were higher for both economic and social benefits captured.</w:t>
      </w:r>
    </w:p>
    <w:p w:rsidR="00994C7C" w:rsidRDefault="00994C7C">
      <w:pPr>
        <w:spacing w:before="0" w:after="0"/>
        <w:rPr>
          <w:rFonts w:cs="Courier New"/>
          <w:b/>
          <w:bCs/>
          <w:color w:val="404040"/>
          <w:sz w:val="16"/>
          <w:szCs w:val="16"/>
        </w:rPr>
      </w:pPr>
      <w:bookmarkStart w:id="47" w:name="_Ref462998195"/>
      <w:bookmarkStart w:id="48" w:name="_Toc466025144"/>
      <w:r>
        <w:br w:type="page"/>
      </w:r>
    </w:p>
    <w:p w:rsidR="00583ACC" w:rsidRPr="00994C7C" w:rsidRDefault="00583ACC" w:rsidP="00583ACC">
      <w:pPr>
        <w:pStyle w:val="Caption"/>
        <w:rPr>
          <w:sz w:val="20"/>
          <w:szCs w:val="20"/>
        </w:rPr>
      </w:pPr>
      <w:bookmarkStart w:id="49" w:name="_Toc467137547"/>
      <w:r w:rsidRPr="00994C7C">
        <w:rPr>
          <w:sz w:val="20"/>
          <w:szCs w:val="20"/>
        </w:rPr>
        <w:lastRenderedPageBreak/>
        <w:t>Table</w:t>
      </w:r>
      <w:r w:rsidR="00B03354">
        <w:rPr>
          <w:sz w:val="20"/>
          <w:szCs w:val="20"/>
        </w:rPr>
        <w:t>s</w:t>
      </w:r>
      <w:r w:rsidRPr="00994C7C">
        <w:rPr>
          <w:sz w:val="20"/>
          <w:szCs w:val="20"/>
        </w:rPr>
        <w:t xml:space="preserve"> E–</w:t>
      </w:r>
      <w:r w:rsidRPr="00994C7C">
        <w:rPr>
          <w:sz w:val="20"/>
          <w:szCs w:val="20"/>
        </w:rPr>
        <w:fldChar w:fldCharType="begin"/>
      </w:r>
      <w:r w:rsidRPr="00994C7C">
        <w:rPr>
          <w:sz w:val="20"/>
          <w:szCs w:val="20"/>
        </w:rPr>
        <w:instrText xml:space="preserve"> SEQ Table \* ARABIC </w:instrText>
      </w:r>
      <w:r w:rsidRPr="00994C7C">
        <w:rPr>
          <w:sz w:val="20"/>
          <w:szCs w:val="20"/>
        </w:rPr>
        <w:fldChar w:fldCharType="separate"/>
      </w:r>
      <w:r w:rsidR="00B80DE3">
        <w:rPr>
          <w:noProof/>
          <w:sz w:val="20"/>
          <w:szCs w:val="20"/>
        </w:rPr>
        <w:t>3</w:t>
      </w:r>
      <w:r w:rsidRPr="00994C7C">
        <w:rPr>
          <w:noProof/>
          <w:sz w:val="20"/>
          <w:szCs w:val="20"/>
        </w:rPr>
        <w:fldChar w:fldCharType="end"/>
      </w:r>
      <w:bookmarkEnd w:id="47"/>
      <w:r w:rsidR="0020039C">
        <w:rPr>
          <w:sz w:val="20"/>
          <w:szCs w:val="20"/>
        </w:rPr>
        <w:t xml:space="preserve"> – CBA Results: Aboriginal </w:t>
      </w:r>
      <w:r w:rsidR="00330772">
        <w:rPr>
          <w:sz w:val="20"/>
          <w:szCs w:val="20"/>
        </w:rPr>
        <w:t>o</w:t>
      </w:r>
      <w:r w:rsidRPr="00994C7C">
        <w:rPr>
          <w:sz w:val="20"/>
          <w:szCs w:val="20"/>
        </w:rPr>
        <w:t>utcomes</w:t>
      </w:r>
      <w:bookmarkEnd w:id="48"/>
      <w:bookmarkEnd w:id="49"/>
      <w:r w:rsidR="0020039C">
        <w:rPr>
          <w:sz w:val="20"/>
          <w:szCs w:val="20"/>
        </w:rPr>
        <w:t xml:space="preserve"> </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total benefits for Aboriginal and non-Aboriginal participants by ALNSW and ELNSW"/>
      </w:tblPr>
      <w:tblGrid>
        <w:gridCol w:w="3096"/>
        <w:gridCol w:w="2159"/>
        <w:gridCol w:w="2159"/>
        <w:gridCol w:w="2158"/>
      </w:tblGrid>
      <w:tr w:rsidR="00583ACC" w:rsidRPr="00583ACC" w:rsidTr="001D2934">
        <w:trPr>
          <w:cnfStyle w:val="100000000000" w:firstRow="1" w:lastRow="0" w:firstColumn="0" w:lastColumn="0" w:oddVBand="0" w:evenVBand="0" w:oddHBand="0" w:evenHBand="0" w:firstRowFirstColumn="0" w:firstRowLastColumn="0" w:lastRowFirstColumn="0" w:lastRowLastColumn="0"/>
          <w:tblHeader/>
        </w:trPr>
        <w:tc>
          <w:tcPr>
            <w:tcW w:w="30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20039C" w:rsidRDefault="0020039C" w:rsidP="0012750B">
            <w:pPr>
              <w:spacing w:after="60"/>
              <w:rPr>
                <w:b/>
                <w:color w:val="auto"/>
              </w:rPr>
            </w:pPr>
            <w:bookmarkStart w:id="50" w:name="ColumnTitle_TableE3a"/>
            <w:bookmarkStart w:id="51" w:name="ColumnTitle_TableE3a_header" w:colFirst="0" w:colLast="4"/>
            <w:bookmarkEnd w:id="50"/>
            <w:r w:rsidRPr="0020039C">
              <w:rPr>
                <w:b/>
                <w:color w:val="auto"/>
              </w:rPr>
              <w:t>Total Benefits</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583ACC" w:rsidRPr="00583ACC" w:rsidRDefault="00583ACC" w:rsidP="0012750B">
            <w:pPr>
              <w:spacing w:after="60"/>
              <w:rPr>
                <w:b/>
                <w:color w:val="auto"/>
              </w:rPr>
            </w:pPr>
            <w:r w:rsidRPr="00583ACC">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583ACC" w:rsidRPr="00583ACC" w:rsidRDefault="00583ACC" w:rsidP="0012750B">
            <w:pPr>
              <w:spacing w:after="60"/>
              <w:rPr>
                <w:b/>
                <w:color w:val="auto"/>
              </w:rPr>
            </w:pPr>
            <w:r w:rsidRPr="00583ACC">
              <w:rPr>
                <w:b/>
                <w:color w:val="auto"/>
              </w:rPr>
              <w:t>ELNSW</w:t>
            </w:r>
          </w:p>
        </w:tc>
        <w:tc>
          <w:tcPr>
            <w:tcW w:w="21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583ACC" w:rsidRPr="00583ACC" w:rsidRDefault="00583ACC" w:rsidP="0012750B">
            <w:pPr>
              <w:spacing w:after="60"/>
              <w:rPr>
                <w:b/>
                <w:color w:val="auto"/>
              </w:rPr>
            </w:pPr>
            <w:r w:rsidRPr="00583ACC">
              <w:rPr>
                <w:b/>
                <w:color w:val="auto"/>
              </w:rPr>
              <w:t>Total</w:t>
            </w:r>
          </w:p>
        </w:tc>
      </w:tr>
      <w:bookmarkEnd w:id="51"/>
      <w:tr w:rsidR="00583ACC" w:rsidRPr="002E17BF" w:rsidTr="0020039C">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583ACC" w:rsidRPr="002E17BF" w:rsidRDefault="00583ACC" w:rsidP="0012750B">
            <w:pPr>
              <w:spacing w:after="60"/>
            </w:pPr>
            <w:r w:rsidRPr="002E17BF">
              <w:t>Aboriginal participants</w:t>
            </w:r>
          </w:p>
        </w:tc>
        <w:tc>
          <w:tcPr>
            <w:tcW w:w="2159" w:type="dxa"/>
            <w:shd w:val="clear" w:color="auto" w:fill="auto"/>
            <w:vAlign w:val="top"/>
          </w:tcPr>
          <w:p w:rsidR="00583ACC" w:rsidRPr="002E17BF" w:rsidRDefault="00583ACC" w:rsidP="0012750B">
            <w:pPr>
              <w:spacing w:after="60"/>
            </w:pPr>
            <w:r>
              <w:t>3.0</w:t>
            </w:r>
          </w:p>
        </w:tc>
        <w:tc>
          <w:tcPr>
            <w:tcW w:w="2159" w:type="dxa"/>
            <w:shd w:val="clear" w:color="auto" w:fill="auto"/>
            <w:vAlign w:val="top"/>
          </w:tcPr>
          <w:p w:rsidR="00583ACC" w:rsidRPr="002E17BF" w:rsidRDefault="00583ACC" w:rsidP="0012750B">
            <w:pPr>
              <w:spacing w:after="60"/>
            </w:pPr>
            <w:r>
              <w:t>5.6</w:t>
            </w:r>
          </w:p>
        </w:tc>
        <w:tc>
          <w:tcPr>
            <w:tcW w:w="2158" w:type="dxa"/>
            <w:shd w:val="clear" w:color="auto" w:fill="auto"/>
            <w:vAlign w:val="top"/>
          </w:tcPr>
          <w:p w:rsidR="00583ACC" w:rsidRPr="002E17BF" w:rsidRDefault="00583ACC" w:rsidP="0012750B">
            <w:pPr>
              <w:spacing w:after="60"/>
            </w:pPr>
            <w:r>
              <w:t>3.9</w:t>
            </w:r>
          </w:p>
        </w:tc>
      </w:tr>
      <w:tr w:rsidR="00583ACC" w:rsidRPr="002E17BF" w:rsidTr="0020039C">
        <w:tc>
          <w:tcPr>
            <w:tcW w:w="3096" w:type="dxa"/>
          </w:tcPr>
          <w:p w:rsidR="00583ACC" w:rsidRPr="002E17BF" w:rsidRDefault="00583ACC" w:rsidP="0012750B">
            <w:pPr>
              <w:spacing w:after="60"/>
            </w:pPr>
            <w:r w:rsidRPr="002E17BF">
              <w:t>All participants</w:t>
            </w:r>
          </w:p>
        </w:tc>
        <w:tc>
          <w:tcPr>
            <w:tcW w:w="2159" w:type="dxa"/>
            <w:vAlign w:val="top"/>
          </w:tcPr>
          <w:p w:rsidR="00583ACC" w:rsidRPr="002E17BF" w:rsidRDefault="00583ACC" w:rsidP="0012750B">
            <w:pPr>
              <w:spacing w:after="60"/>
            </w:pPr>
            <w:r w:rsidRPr="002E17BF">
              <w:t>2.4</w:t>
            </w:r>
          </w:p>
        </w:tc>
        <w:tc>
          <w:tcPr>
            <w:tcW w:w="2159" w:type="dxa"/>
            <w:vAlign w:val="top"/>
          </w:tcPr>
          <w:p w:rsidR="00583ACC" w:rsidRPr="002E17BF" w:rsidRDefault="00583ACC" w:rsidP="0012750B">
            <w:pPr>
              <w:spacing w:after="60"/>
            </w:pPr>
            <w:r w:rsidRPr="002E17BF">
              <w:t>5.1</w:t>
            </w:r>
          </w:p>
        </w:tc>
        <w:tc>
          <w:tcPr>
            <w:tcW w:w="2158" w:type="dxa"/>
            <w:vAlign w:val="top"/>
          </w:tcPr>
          <w:p w:rsidR="00583ACC" w:rsidRPr="002E17BF" w:rsidRDefault="00583ACC" w:rsidP="0012750B">
            <w:pPr>
              <w:spacing w:after="60"/>
            </w:pPr>
            <w:r w:rsidRPr="002E17BF">
              <w:t>3.0</w:t>
            </w:r>
          </w:p>
        </w:tc>
      </w:tr>
    </w:tbl>
    <w:p w:rsidR="0020039C" w:rsidRPr="0069578E" w:rsidRDefault="0020039C"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economic benefits for Aboriginal and non-Aboriginal participants by ALNSW and ELNSW"/>
      </w:tblPr>
      <w:tblGrid>
        <w:gridCol w:w="3096"/>
        <w:gridCol w:w="2159"/>
        <w:gridCol w:w="2159"/>
        <w:gridCol w:w="2158"/>
      </w:tblGrid>
      <w:tr w:rsidR="0020039C" w:rsidRPr="00583ACC" w:rsidTr="001D2934">
        <w:trPr>
          <w:cnfStyle w:val="100000000000" w:firstRow="1" w:lastRow="0" w:firstColumn="0" w:lastColumn="0" w:oddVBand="0" w:evenVBand="0" w:oddHBand="0" w:evenHBand="0" w:firstRowFirstColumn="0" w:firstRowLastColumn="0" w:lastRowFirstColumn="0" w:lastRowLastColumn="0"/>
          <w:tblHeader/>
        </w:trPr>
        <w:tc>
          <w:tcPr>
            <w:tcW w:w="30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0039C" w:rsidRPr="001D7405" w:rsidRDefault="00330772" w:rsidP="00330772">
            <w:pPr>
              <w:spacing w:after="60"/>
              <w:rPr>
                <w:b/>
                <w:color w:val="auto"/>
              </w:rPr>
            </w:pPr>
            <w:bookmarkStart w:id="52" w:name="ColumnTitle_TableE3"/>
            <w:bookmarkStart w:id="53" w:name="ColumnTitle_TableE3b"/>
            <w:bookmarkStart w:id="54" w:name="ColumnTitle_TableE3b_header"/>
            <w:bookmarkEnd w:id="52"/>
            <w:bookmarkEnd w:id="53"/>
            <w:r>
              <w:rPr>
                <w:b/>
                <w:color w:val="auto"/>
              </w:rPr>
              <w:t>Economic b</w:t>
            </w:r>
            <w:r w:rsidR="001D7405" w:rsidRPr="001D7405">
              <w:rPr>
                <w:b/>
                <w:color w:val="auto"/>
              </w:rPr>
              <w:t xml:space="preserve">enefits </w:t>
            </w:r>
            <w:r>
              <w:rPr>
                <w:b/>
                <w:color w:val="auto"/>
              </w:rPr>
              <w:t>o</w:t>
            </w:r>
            <w:r w:rsidR="001D7405" w:rsidRPr="001D7405">
              <w:rPr>
                <w:b/>
                <w:color w:val="auto"/>
              </w:rPr>
              <w:t>nly</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20039C" w:rsidRPr="00583ACC" w:rsidRDefault="0020039C" w:rsidP="0012750B">
            <w:pPr>
              <w:spacing w:after="60"/>
              <w:rPr>
                <w:b/>
                <w:color w:val="auto"/>
              </w:rPr>
            </w:pPr>
            <w:r w:rsidRPr="00583ACC">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20039C" w:rsidRPr="00583ACC" w:rsidRDefault="0020039C" w:rsidP="0012750B">
            <w:pPr>
              <w:spacing w:after="60"/>
              <w:rPr>
                <w:b/>
                <w:color w:val="auto"/>
              </w:rPr>
            </w:pPr>
            <w:r w:rsidRPr="00583ACC">
              <w:rPr>
                <w:b/>
                <w:color w:val="auto"/>
              </w:rPr>
              <w:t>ELNSW</w:t>
            </w:r>
          </w:p>
        </w:tc>
        <w:tc>
          <w:tcPr>
            <w:tcW w:w="21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20039C" w:rsidRPr="00583ACC" w:rsidRDefault="0020039C" w:rsidP="0012750B">
            <w:pPr>
              <w:spacing w:after="60"/>
              <w:rPr>
                <w:b/>
                <w:color w:val="auto"/>
              </w:rPr>
            </w:pPr>
            <w:r w:rsidRPr="00583ACC">
              <w:rPr>
                <w:b/>
                <w:color w:val="auto"/>
              </w:rPr>
              <w:t>Total</w:t>
            </w:r>
          </w:p>
        </w:tc>
      </w:tr>
      <w:bookmarkEnd w:id="54"/>
      <w:tr w:rsidR="0020039C" w:rsidRPr="002E17BF" w:rsidTr="001D7405">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20039C" w:rsidRPr="002E17BF" w:rsidRDefault="0020039C" w:rsidP="0012750B">
            <w:pPr>
              <w:spacing w:after="60"/>
            </w:pPr>
            <w:r w:rsidRPr="002E17BF">
              <w:t>Aboriginal participants</w:t>
            </w:r>
          </w:p>
        </w:tc>
        <w:tc>
          <w:tcPr>
            <w:tcW w:w="2159" w:type="dxa"/>
            <w:shd w:val="clear" w:color="auto" w:fill="auto"/>
            <w:vAlign w:val="top"/>
          </w:tcPr>
          <w:p w:rsidR="0020039C" w:rsidRPr="002E17BF" w:rsidRDefault="0020039C" w:rsidP="0012750B">
            <w:pPr>
              <w:spacing w:after="60"/>
            </w:pPr>
            <w:r>
              <w:t>1.1</w:t>
            </w:r>
          </w:p>
        </w:tc>
        <w:tc>
          <w:tcPr>
            <w:tcW w:w="2159" w:type="dxa"/>
            <w:shd w:val="clear" w:color="auto" w:fill="auto"/>
            <w:vAlign w:val="top"/>
          </w:tcPr>
          <w:p w:rsidR="0020039C" w:rsidRPr="002E17BF" w:rsidRDefault="0020039C" w:rsidP="0012750B">
            <w:pPr>
              <w:spacing w:after="60"/>
            </w:pPr>
            <w:r>
              <w:t>2.0</w:t>
            </w:r>
          </w:p>
        </w:tc>
        <w:tc>
          <w:tcPr>
            <w:tcW w:w="2158" w:type="dxa"/>
            <w:shd w:val="clear" w:color="auto" w:fill="auto"/>
            <w:vAlign w:val="top"/>
          </w:tcPr>
          <w:p w:rsidR="0020039C" w:rsidRPr="002E17BF" w:rsidRDefault="0020039C" w:rsidP="0012750B">
            <w:pPr>
              <w:spacing w:after="60"/>
            </w:pPr>
            <w:r>
              <w:t>1.4</w:t>
            </w:r>
          </w:p>
        </w:tc>
      </w:tr>
      <w:tr w:rsidR="0020039C" w:rsidRPr="002E17BF" w:rsidTr="001D7405">
        <w:tc>
          <w:tcPr>
            <w:tcW w:w="3096" w:type="dxa"/>
          </w:tcPr>
          <w:p w:rsidR="0020039C" w:rsidRPr="002E17BF" w:rsidRDefault="0020039C" w:rsidP="0012750B">
            <w:pPr>
              <w:spacing w:after="60"/>
            </w:pPr>
            <w:r w:rsidRPr="002E17BF">
              <w:t>All participants</w:t>
            </w:r>
          </w:p>
        </w:tc>
        <w:tc>
          <w:tcPr>
            <w:tcW w:w="2159" w:type="dxa"/>
            <w:vAlign w:val="top"/>
          </w:tcPr>
          <w:p w:rsidR="0020039C" w:rsidRPr="002E17BF" w:rsidRDefault="0020039C" w:rsidP="0012750B">
            <w:pPr>
              <w:spacing w:after="60"/>
            </w:pPr>
            <w:r>
              <w:t>0.9</w:t>
            </w:r>
          </w:p>
        </w:tc>
        <w:tc>
          <w:tcPr>
            <w:tcW w:w="2159" w:type="dxa"/>
            <w:vAlign w:val="top"/>
          </w:tcPr>
          <w:p w:rsidR="0020039C" w:rsidRPr="002E17BF" w:rsidRDefault="0020039C" w:rsidP="0012750B">
            <w:pPr>
              <w:spacing w:after="60"/>
            </w:pPr>
            <w:r>
              <w:t>1.7</w:t>
            </w:r>
          </w:p>
        </w:tc>
        <w:tc>
          <w:tcPr>
            <w:tcW w:w="2158" w:type="dxa"/>
            <w:vAlign w:val="top"/>
          </w:tcPr>
          <w:p w:rsidR="0020039C" w:rsidRPr="002E17BF" w:rsidRDefault="0020039C" w:rsidP="0012750B">
            <w:pPr>
              <w:spacing w:after="60"/>
            </w:pPr>
            <w:r>
              <w:t>1.1</w:t>
            </w:r>
          </w:p>
        </w:tc>
      </w:tr>
    </w:tbl>
    <w:p w:rsidR="0020039C" w:rsidRPr="000C350F" w:rsidRDefault="0020039C" w:rsidP="0020039C">
      <w:pPr>
        <w:rPr>
          <w:sz w:val="18"/>
        </w:rPr>
      </w:pPr>
      <w:r w:rsidRPr="000C350F">
        <w:rPr>
          <w:sz w:val="18"/>
        </w:rPr>
        <w:t xml:space="preserve">Note: totals may not add due to rounding. The results were derived using a real discount rate of 7%. </w:t>
      </w:r>
    </w:p>
    <w:p w:rsidR="00583ACC" w:rsidRPr="00994C7C" w:rsidRDefault="00583ACC" w:rsidP="00583ACC">
      <w:pPr>
        <w:pStyle w:val="Head2"/>
      </w:pPr>
      <w:bookmarkStart w:id="55" w:name="_Toc467133513"/>
      <w:r w:rsidRPr="00994C7C">
        <w:t>Conclusion</w:t>
      </w:r>
      <w:bookmarkEnd w:id="55"/>
    </w:p>
    <w:p w:rsidR="00583ACC" w:rsidRPr="001D7405" w:rsidRDefault="00583ACC" w:rsidP="00583ACC">
      <w:r w:rsidRPr="001D7405">
        <w:t>The results of the CBA analysis suggest that ALNSW and ELNSW deliver significant economic and social benefits over and above the cost of the program, with particularly strong results for Aboriginal participants.</w:t>
      </w:r>
    </w:p>
    <w:p w:rsidR="00583ACC" w:rsidRPr="001D7405" w:rsidRDefault="00583ACC" w:rsidP="00583ACC">
      <w:r w:rsidRPr="001D7405">
        <w:t>In fact, outcomes achieved have exceeded expectations based on the preliminary analysis from the first year of the program, which was based on more limited data.</w:t>
      </w:r>
    </w:p>
    <w:p w:rsidR="00583ACC" w:rsidRPr="001D7405" w:rsidRDefault="00583ACC" w:rsidP="00583ACC">
      <w:r w:rsidRPr="001D7405">
        <w:t xml:space="preserve">Further, the results presented </w:t>
      </w:r>
      <w:r w:rsidR="00963F4C">
        <w:t>previously</w:t>
      </w:r>
      <w:r w:rsidRPr="001D7405">
        <w:t xml:space="preserve"> are likely to underestimate the full extent of benefits as the following outcomes were not able to be quantified.</w:t>
      </w:r>
    </w:p>
    <w:p w:rsidR="00583ACC" w:rsidRPr="001D7405" w:rsidRDefault="00583ACC" w:rsidP="00D43846">
      <w:pPr>
        <w:pStyle w:val="ListBullet"/>
        <w:numPr>
          <w:ilvl w:val="0"/>
          <w:numId w:val="13"/>
        </w:numPr>
        <w:rPr>
          <w:color w:val="auto"/>
        </w:rPr>
      </w:pPr>
      <w:r w:rsidRPr="001D7405">
        <w:rPr>
          <w:b/>
          <w:color w:val="auto"/>
        </w:rPr>
        <w:t xml:space="preserve">Community benefits; </w:t>
      </w:r>
      <w:r w:rsidRPr="001D7405">
        <w:rPr>
          <w:color w:val="auto"/>
        </w:rPr>
        <w:t>these form an important part of the Ability Links program objective, however, there are difficulties quantifying community outcomes data into specific benefits as it is difficult to measure the total number of people (participants and community) directly impacted by community outcomes</w:t>
      </w:r>
    </w:p>
    <w:p w:rsidR="00583ACC" w:rsidRPr="001D7405" w:rsidRDefault="00583ACC" w:rsidP="00D43846">
      <w:pPr>
        <w:pStyle w:val="ListBullet"/>
        <w:numPr>
          <w:ilvl w:val="0"/>
          <w:numId w:val="13"/>
        </w:numPr>
        <w:rPr>
          <w:color w:val="auto"/>
        </w:rPr>
      </w:pPr>
      <w:r w:rsidRPr="001D7405">
        <w:rPr>
          <w:b/>
          <w:color w:val="auto"/>
        </w:rPr>
        <w:t xml:space="preserve">Intangible social benefits; </w:t>
      </w:r>
      <w:r w:rsidRPr="001D7405">
        <w:rPr>
          <w:color w:val="auto"/>
        </w:rPr>
        <w:t>not all outcomes have been able to be robustly quantified and so these have been incorporated in a purely qualitative manner</w:t>
      </w:r>
    </w:p>
    <w:p w:rsidR="00583ACC" w:rsidRPr="001D7405" w:rsidRDefault="00583ACC" w:rsidP="00D43846">
      <w:pPr>
        <w:pStyle w:val="ListBullet"/>
        <w:numPr>
          <w:ilvl w:val="0"/>
          <w:numId w:val="13"/>
        </w:numPr>
        <w:rPr>
          <w:color w:val="auto"/>
        </w:rPr>
      </w:pPr>
      <w:r w:rsidRPr="001D7405">
        <w:rPr>
          <w:b/>
          <w:color w:val="auto"/>
        </w:rPr>
        <w:t xml:space="preserve">Benefits to those who received information only (without achieving an outcome); </w:t>
      </w:r>
      <w:r w:rsidRPr="001D7405">
        <w:rPr>
          <w:color w:val="auto"/>
        </w:rPr>
        <w:t>again, it is not possible to determine the value of information received by the individual, or the course of action it may have led to, without further follow up.</w:t>
      </w:r>
    </w:p>
    <w:p w:rsidR="00583ACC" w:rsidRDefault="00583ACC" w:rsidP="00583ACC"/>
    <w:p w:rsidR="00583ACC" w:rsidRDefault="00583ACC" w:rsidP="00583ACC">
      <w:pPr>
        <w:sectPr w:rsidR="00583ACC" w:rsidSect="00C01D54">
          <w:footerReference w:type="even" r:id="rId23"/>
          <w:footerReference w:type="default" r:id="rId24"/>
          <w:pgSz w:w="11907" w:h="16840" w:code="9"/>
          <w:pgMar w:top="1134" w:right="1134" w:bottom="1418" w:left="1417" w:header="272" w:footer="340" w:gutter="0"/>
          <w:cols w:space="708"/>
          <w:docGrid w:linePitch="360"/>
        </w:sectPr>
      </w:pPr>
    </w:p>
    <w:p w:rsidR="003615E3" w:rsidRPr="00994C7C" w:rsidRDefault="003615E3" w:rsidP="00F128B7">
      <w:pPr>
        <w:pStyle w:val="Head1"/>
      </w:pPr>
      <w:bookmarkStart w:id="56" w:name="_Toc230601780"/>
      <w:bookmarkStart w:id="57" w:name="_Toc241374366"/>
      <w:bookmarkStart w:id="58" w:name="_Toc275937159"/>
      <w:bookmarkStart w:id="59" w:name="_Toc345923830"/>
      <w:bookmarkStart w:id="60" w:name="_Toc361825781"/>
      <w:bookmarkStart w:id="61" w:name="_Toc361837003"/>
      <w:bookmarkStart w:id="62" w:name="_Toc361839463"/>
      <w:bookmarkStart w:id="63" w:name="_Toc467133514"/>
      <w:bookmarkStart w:id="64" w:name="bm_introduction"/>
      <w:bookmarkEnd w:id="18"/>
      <w:bookmarkEnd w:id="19"/>
      <w:bookmarkEnd w:id="27"/>
      <w:bookmarkEnd w:id="28"/>
      <w:r w:rsidRPr="00994C7C">
        <w:lastRenderedPageBreak/>
        <w:t>Introduction</w:t>
      </w:r>
      <w:bookmarkEnd w:id="56"/>
      <w:bookmarkEnd w:id="57"/>
      <w:bookmarkEnd w:id="58"/>
      <w:bookmarkEnd w:id="59"/>
      <w:bookmarkEnd w:id="60"/>
      <w:bookmarkEnd w:id="61"/>
      <w:bookmarkEnd w:id="62"/>
      <w:bookmarkEnd w:id="63"/>
    </w:p>
    <w:p w:rsidR="00583ACC" w:rsidRPr="00994C7C" w:rsidRDefault="00583ACC" w:rsidP="00F128B7">
      <w:pPr>
        <w:pStyle w:val="Head2"/>
      </w:pPr>
      <w:bookmarkStart w:id="65" w:name="bm_chapter1"/>
      <w:bookmarkStart w:id="66" w:name="_Toc465259711"/>
      <w:bookmarkStart w:id="67" w:name="_Toc467133515"/>
      <w:bookmarkStart w:id="68" w:name="_Toc465092189"/>
      <w:bookmarkStart w:id="69" w:name="_Toc361837006"/>
      <w:bookmarkStart w:id="70" w:name="_Toc361839468"/>
      <w:bookmarkEnd w:id="20"/>
      <w:bookmarkEnd w:id="64"/>
      <w:bookmarkEnd w:id="65"/>
      <w:r w:rsidRPr="00994C7C">
        <w:t>Context</w:t>
      </w:r>
      <w:bookmarkEnd w:id="66"/>
      <w:bookmarkEnd w:id="67"/>
    </w:p>
    <w:p w:rsidR="00583ACC" w:rsidRPr="001D7405" w:rsidRDefault="00583ACC" w:rsidP="00583ACC">
      <w:r w:rsidRPr="001D7405">
        <w:t xml:space="preserve">Ability Links NSW (ALNSW) was established as the NSW approach to local area coordination for people with disability, their families and carers. It is a critical component of the NSW transition to person-centred and individualised funding arrangements. The program is part of the NSW contribution to the National Disability Insurance Scheme (NDIS) and aligns with the early intervention aspects of the NDIS. </w:t>
      </w:r>
    </w:p>
    <w:p w:rsidR="00583ACC" w:rsidRPr="001D7405" w:rsidRDefault="00583ACC" w:rsidP="00583ACC">
      <w:r w:rsidRPr="001D7405">
        <w:t>ALNSW was officially launched in the Central Coast and Hunter New England Districts on 1 July 2013, to coincide with the launch of the NDIS in the Hunter trial site. Following the state-wide implementation of ALNSW in July 2014, there are now 16 ALNSW providers across NSW, eight of which involve partnership arrangements. The 16 providers are comprised of four large ALNSW (generalist) providers and 12 smaller ALNSW (Aboriginal) providers. There are currently 268 funded Ability Linker positions, of which 47 are Aboriginal-identified.</w:t>
      </w:r>
    </w:p>
    <w:p w:rsidR="00583ACC" w:rsidRPr="001D7405" w:rsidRDefault="00583ACC" w:rsidP="00583ACC">
      <w:r w:rsidRPr="001D7405">
        <w:t>The target group for ALNSW is people with disability aged 9 to 64 years who do not currently access specialist disability support services and whose needs can be met by taking part in activities in their local community or through accessing mainstream services. ALNSW is staffed by Linkers who have three main roles:</w:t>
      </w:r>
    </w:p>
    <w:p w:rsidR="00583ACC" w:rsidRPr="001D7405" w:rsidRDefault="00583ACC" w:rsidP="00D43846">
      <w:pPr>
        <w:pStyle w:val="ListBullet"/>
        <w:numPr>
          <w:ilvl w:val="0"/>
          <w:numId w:val="15"/>
        </w:numPr>
        <w:rPr>
          <w:color w:val="auto"/>
        </w:rPr>
      </w:pPr>
      <w:r w:rsidRPr="001D7405">
        <w:rPr>
          <w:color w:val="auto"/>
        </w:rPr>
        <w:t>to work with people with disability, their families and carers to plan for their future</w:t>
      </w:r>
    </w:p>
    <w:p w:rsidR="00583ACC" w:rsidRPr="001D7405" w:rsidRDefault="00583ACC" w:rsidP="00D43846">
      <w:pPr>
        <w:pStyle w:val="ListBullet"/>
        <w:numPr>
          <w:ilvl w:val="0"/>
          <w:numId w:val="15"/>
        </w:numPr>
        <w:rPr>
          <w:color w:val="auto"/>
        </w:rPr>
      </w:pPr>
      <w:r w:rsidRPr="001D7405">
        <w:rPr>
          <w:color w:val="auto"/>
        </w:rPr>
        <w:t>to help people with disability become more confident, build on their strengths and skills and support them to achieve their goals by building new networks and accessing support and services in their community</w:t>
      </w:r>
    </w:p>
    <w:p w:rsidR="00583ACC" w:rsidRPr="001D7405" w:rsidRDefault="00583ACC" w:rsidP="00D43846">
      <w:pPr>
        <w:pStyle w:val="ListBullet"/>
        <w:numPr>
          <w:ilvl w:val="0"/>
          <w:numId w:val="15"/>
        </w:numPr>
        <w:rPr>
          <w:color w:val="auto"/>
        </w:rPr>
      </w:pPr>
      <w:proofErr w:type="gramStart"/>
      <w:r w:rsidRPr="001D7405">
        <w:rPr>
          <w:color w:val="auto"/>
        </w:rPr>
        <w:t>to</w:t>
      </w:r>
      <w:proofErr w:type="gramEnd"/>
      <w:r w:rsidRPr="001D7405">
        <w:rPr>
          <w:color w:val="auto"/>
        </w:rPr>
        <w:t xml:space="preserve"> work alongside communities and mainstream services (Linked agencies), supporting them to become more welcoming and inclusive of people with disability.</w:t>
      </w:r>
    </w:p>
    <w:p w:rsidR="00583ACC" w:rsidRPr="001D7405" w:rsidRDefault="00583ACC" w:rsidP="00583ACC">
      <w:r w:rsidRPr="001D7405">
        <w:t>The fundamental aim of ALNSW is to assist people with disability to develop networks in their own communities so they can do what they want with their lives outside of the traditional disability service system.</w:t>
      </w:r>
    </w:p>
    <w:p w:rsidR="00583ACC" w:rsidRPr="001D7405" w:rsidRDefault="00583ACC" w:rsidP="00583ACC">
      <w:r w:rsidRPr="001D7405">
        <w:t>Early Links NSW (ELNSW) supports families of children with disability up to eight years old. ELNSW was launched in 2009 and was formerly known as the Early Start Diagnosis Support Program. In September 2013, steps were taken to align the ALNSW and ELNSW programs. ELNSW has similar components and objectives to ALNSW; in particular, both programs focus on local area coordination to improve outcomes for children with disability, their families and carers.</w:t>
      </w:r>
    </w:p>
    <w:p w:rsidR="00583ACC" w:rsidRPr="001D7405" w:rsidRDefault="00583ACC" w:rsidP="00583ACC">
      <w:r w:rsidRPr="001D7405">
        <w:t>ELNSW funds Early Linkers who provide time-limited, individually-tailored support to families of children with a disability or developmental delay during the time of diagnosis or while awaiting diagnosis. Early Linkers provide families with person-centred and family-centred support, information and assistance to access services and supports to meet the family’s goals within their local communities. The Early Linkers play a key role in improving access to mainstream options and linking families to services.</w:t>
      </w:r>
    </w:p>
    <w:p w:rsidR="00583ACC" w:rsidRPr="001D7405" w:rsidRDefault="00583ACC" w:rsidP="00583ACC">
      <w:r w:rsidRPr="001D7405">
        <w:t>Currently there are 20 ELNSW providers across NSW, of which seven are generalist and 13 are Aboriginal providers. There are 79 Early Linker positions, of which 27 are Aboriginal-identified.</w:t>
      </w:r>
    </w:p>
    <w:p w:rsidR="00583ACC" w:rsidRPr="00994C7C" w:rsidRDefault="00583ACC" w:rsidP="00F128B7">
      <w:pPr>
        <w:pStyle w:val="Head2"/>
      </w:pPr>
      <w:bookmarkStart w:id="71" w:name="_Toc465259712"/>
      <w:bookmarkStart w:id="72" w:name="_Toc467133516"/>
      <w:r w:rsidRPr="00994C7C">
        <w:t>Previous reporting</w:t>
      </w:r>
      <w:bookmarkEnd w:id="71"/>
      <w:bookmarkEnd w:id="72"/>
    </w:p>
    <w:p w:rsidR="00583ACC" w:rsidRPr="001D7405" w:rsidRDefault="00583ACC" w:rsidP="00583ACC">
      <w:r w:rsidRPr="001D7405">
        <w:t xml:space="preserve">In early 2015, Urbis completed a Social Cost Benefit Analysis (CBA) of the ALNSW program, following the first 16 months of operation in the Hunter. </w:t>
      </w:r>
    </w:p>
    <w:p w:rsidR="00583ACC" w:rsidRPr="001D7405" w:rsidRDefault="00583ACC" w:rsidP="00583ACC">
      <w:r w:rsidRPr="001D7405">
        <w:t xml:space="preserve">The 2015 Social CBA evaluated the program, based on data for FY 2013-14. </w:t>
      </w:r>
    </w:p>
    <w:p w:rsidR="00583ACC" w:rsidRPr="001D7405" w:rsidRDefault="00583ACC" w:rsidP="00583ACC">
      <w:r w:rsidRPr="001D7405">
        <w:t xml:space="preserve">Outcomes recorded in the 2015 report were drawn from interviews conducted by Urbis staff and ALNSW provider reports. From 106 case studies, 906 individual outcomes were achieved. </w:t>
      </w:r>
    </w:p>
    <w:p w:rsidR="00583ACC" w:rsidRPr="001D7405" w:rsidRDefault="00583ACC" w:rsidP="00583ACC">
      <w:r w:rsidRPr="001D7405">
        <w:lastRenderedPageBreak/>
        <w:t>The study assumed that these case studies were a representative sample for the entire ALNSW cohort and that similar patterns of benefit would occur across a larger cohort as the program was rolled out in subsequent years.</w:t>
      </w:r>
    </w:p>
    <w:p w:rsidR="00583ACC" w:rsidRPr="001D7405" w:rsidRDefault="00583ACC" w:rsidP="00583ACC">
      <w:pPr>
        <w:pStyle w:val="ListBullet"/>
        <w:tabs>
          <w:tab w:val="clear" w:pos="360"/>
        </w:tabs>
        <w:ind w:left="0" w:firstLine="0"/>
        <w:rPr>
          <w:color w:val="auto"/>
        </w:rPr>
      </w:pPr>
      <w:r w:rsidRPr="001D7405">
        <w:rPr>
          <w:color w:val="auto"/>
        </w:rPr>
        <w:t xml:space="preserve">It was estimated that at full operational capacity there would be 268 Linkers across the 16 providers. Currently, this is the same number of positions that are funded. However, when the first report in 2015 was undertaken, ELNSW had not yet been established in its current form and was not included in the study. </w:t>
      </w:r>
    </w:p>
    <w:p w:rsidR="00583ACC" w:rsidRPr="001D7405" w:rsidRDefault="00583ACC" w:rsidP="00583ACC">
      <w:r w:rsidRPr="001D7405">
        <w:t>To test the outcomes achieved against forecasts in the first Social CBA, and given that ALNSW is now well established in communities across NSW and that ELNSW is included, NSW FACS has engaged Urbis to update the Social CBA for 2015-16 – covering both ALNSW and ELNSW.</w:t>
      </w:r>
    </w:p>
    <w:p w:rsidR="00583ACC" w:rsidRPr="001D7405" w:rsidRDefault="00583ACC" w:rsidP="00583ACC">
      <w:r w:rsidRPr="001D7405">
        <w:t>The significant difference in the results between the 2015 and 2016 reports due to:</w:t>
      </w:r>
    </w:p>
    <w:p w:rsidR="00583ACC" w:rsidRPr="001D7405" w:rsidRDefault="00583ACC" w:rsidP="00D43846">
      <w:pPr>
        <w:pStyle w:val="ListParagraph"/>
        <w:numPr>
          <w:ilvl w:val="0"/>
          <w:numId w:val="16"/>
        </w:numPr>
        <w:spacing w:before="0" w:after="160"/>
        <w:ind w:left="426" w:hanging="357"/>
      </w:pPr>
      <w:r w:rsidRPr="001D7405">
        <w:t>the expansion of ALNSW to include a larger cohort and the ELNSW program</w:t>
      </w:r>
    </w:p>
    <w:p w:rsidR="00583ACC" w:rsidRPr="001D7405" w:rsidRDefault="00583ACC" w:rsidP="00D43846">
      <w:pPr>
        <w:pStyle w:val="ListParagraph"/>
        <w:numPr>
          <w:ilvl w:val="0"/>
          <w:numId w:val="16"/>
        </w:numPr>
        <w:spacing w:before="0" w:after="160"/>
        <w:ind w:left="426" w:hanging="357"/>
      </w:pPr>
      <w:r w:rsidRPr="001D7405">
        <w:t>the increase in the number of people accessing ALNSW, as it is now well established in communities across NSW</w:t>
      </w:r>
    </w:p>
    <w:p w:rsidR="00583ACC" w:rsidRPr="001D7405" w:rsidRDefault="00583ACC" w:rsidP="00D43846">
      <w:pPr>
        <w:pStyle w:val="ListParagraph"/>
        <w:numPr>
          <w:ilvl w:val="0"/>
          <w:numId w:val="16"/>
        </w:numPr>
        <w:spacing w:before="0" w:after="160"/>
        <w:ind w:left="426" w:hanging="357"/>
      </w:pPr>
      <w:proofErr w:type="gramStart"/>
      <w:r w:rsidRPr="001D7405">
        <w:t>improved</w:t>
      </w:r>
      <w:proofErr w:type="gramEnd"/>
      <w:r w:rsidRPr="001D7405">
        <w:t xml:space="preserve"> data availability: the more detailed and granular data now available for a significantly larger cohort has allowed a much larger set of outcomes to be quantified.</w:t>
      </w:r>
    </w:p>
    <w:p w:rsidR="00583ACC" w:rsidRPr="00994C7C" w:rsidRDefault="00583ACC" w:rsidP="00F128B7">
      <w:pPr>
        <w:pStyle w:val="Head2"/>
      </w:pPr>
      <w:bookmarkStart w:id="73" w:name="_Toc465259713"/>
      <w:bookmarkStart w:id="74" w:name="_Toc467133517"/>
      <w:r w:rsidRPr="00994C7C">
        <w:t>Data limitations</w:t>
      </w:r>
      <w:bookmarkEnd w:id="73"/>
      <w:bookmarkEnd w:id="74"/>
    </w:p>
    <w:p w:rsidR="00583ACC" w:rsidRPr="001D7405" w:rsidRDefault="00583ACC" w:rsidP="00583ACC">
      <w:pPr>
        <w:pStyle w:val="BodyText"/>
      </w:pPr>
      <w:r w:rsidRPr="001D7405">
        <w:t>The initial reporting template was put in place when ALNSW became operational in the Hunter from 1 July 2013 to enable St Vincent de Paul Society – Hunter to report data during the early establishment of the program. Following the state-wide expansion of ALNSW, from 1 July 2014, utilising a collaborative approach, ALNSW providers decided to keep the initial reporting template in place until completion of the expansion, and all providers started reporting data against the initial template.</w:t>
      </w:r>
    </w:p>
    <w:p w:rsidR="00583ACC" w:rsidRPr="001D7405" w:rsidRDefault="00583ACC" w:rsidP="00583ACC">
      <w:r w:rsidRPr="001D7405">
        <w:t xml:space="preserve">However, the initial template captured data from providers at an aggregated level and had more of a focus on the number of ‘new’ individuals accessing ALNSW rather than details concerning outcomes achieved by those individuals. </w:t>
      </w:r>
    </w:p>
    <w:p w:rsidR="00583ACC" w:rsidRPr="001D7405" w:rsidRDefault="00583ACC" w:rsidP="00583ACC">
      <w:r w:rsidRPr="001D7405">
        <w:t>In light of this, in the early establishment phase, the positive impact ALNSW was having on individuals’ lives and the community more broadly was collected through qualitative stories submitted by providers. The format of the template and aggregation of data therefore prevented any detailed analysis of quantitative data that highlighted individual and community outcomes being achieved.</w:t>
      </w:r>
    </w:p>
    <w:p w:rsidR="00583ACC" w:rsidRPr="001D7405" w:rsidRDefault="00583ACC" w:rsidP="00583ACC">
      <w:r w:rsidRPr="001D7405">
        <w:t xml:space="preserve">Throughout 2015 ALNSW providers and FACS worked collaboratively to design a data set that correlated with the role of the Linker and that supported the collection of consistent outcomes data from all funded ALNSW and ELNSW providers. As of 1 January 2016, a new online data collection system commenced. </w:t>
      </w:r>
    </w:p>
    <w:p w:rsidR="00583ACC" w:rsidRPr="001D7405" w:rsidRDefault="00583ACC" w:rsidP="00583ACC">
      <w:r w:rsidRPr="001D7405">
        <w:t xml:space="preserve">As a result of this, it has only been possible to report on program data for the first six months of the 2016 calendar year, with extrapolation of actual program data used to estimate annual figures for the 2015-16 financial </w:t>
      </w:r>
      <w:proofErr w:type="gramStart"/>
      <w:r w:rsidRPr="001D7405">
        <w:t>year</w:t>
      </w:r>
      <w:proofErr w:type="gramEnd"/>
      <w:r w:rsidRPr="001D7405">
        <w:t xml:space="preserve">. </w:t>
      </w:r>
    </w:p>
    <w:p w:rsidR="00583ACC" w:rsidRPr="001D7405" w:rsidRDefault="00583ACC" w:rsidP="00583ACC">
      <w:r w:rsidRPr="001D7405">
        <w:t xml:space="preserve">As with any new data collection system, there is a possibility of some variability in reporting and/or coding practices across providers. However, FACS </w:t>
      </w:r>
      <w:proofErr w:type="gramStart"/>
      <w:r w:rsidRPr="001D7405">
        <w:t>have</w:t>
      </w:r>
      <w:proofErr w:type="gramEnd"/>
      <w:r w:rsidRPr="001D7405">
        <w:t xml:space="preserve"> undertaken a number of quality checks to test the reliability of the data, and are confident that the number and trends are reasonably accurate in describing program utilisation and outcomes.</w:t>
      </w:r>
    </w:p>
    <w:p w:rsidR="00583ACC" w:rsidRPr="001D7405" w:rsidRDefault="00583ACC" w:rsidP="00583ACC">
      <w:r w:rsidRPr="001D7405">
        <w:t>To minimise any potential for bias, data presented in this report has been cross-checked with all available data sources to test the veracity of themes and opinions presented. There is a high level of congruence between the quantitative and qualitative research that has been undertaken for the evaluation.</w:t>
      </w:r>
    </w:p>
    <w:p w:rsidR="00994C7C" w:rsidRDefault="00994C7C">
      <w:pPr>
        <w:spacing w:before="0" w:after="0"/>
        <w:rPr>
          <w:rFonts w:cs="Arial"/>
          <w:b/>
          <w:bCs/>
          <w:color w:val="00314D"/>
          <w:sz w:val="28"/>
          <w:szCs w:val="28"/>
        </w:rPr>
      </w:pPr>
      <w:bookmarkStart w:id="75" w:name="_Toc465259714"/>
      <w:r>
        <w:rPr>
          <w:iCs/>
        </w:rPr>
        <w:br w:type="page"/>
      </w:r>
    </w:p>
    <w:p w:rsidR="00583ACC" w:rsidRPr="00994C7C" w:rsidRDefault="00583ACC" w:rsidP="00F128B7">
      <w:pPr>
        <w:pStyle w:val="Head2"/>
      </w:pPr>
      <w:bookmarkStart w:id="76" w:name="_Toc467133518"/>
      <w:r w:rsidRPr="00994C7C">
        <w:lastRenderedPageBreak/>
        <w:t>Report structure</w:t>
      </w:r>
      <w:bookmarkEnd w:id="75"/>
      <w:bookmarkEnd w:id="76"/>
    </w:p>
    <w:p w:rsidR="00583ACC" w:rsidRPr="001D7405" w:rsidRDefault="00583ACC" w:rsidP="00583ACC">
      <w:r w:rsidRPr="001D7405">
        <w:t>This report is presented in four parts:</w:t>
      </w:r>
    </w:p>
    <w:p w:rsidR="00583ACC" w:rsidRPr="001D7405" w:rsidRDefault="00583ACC" w:rsidP="00D43846">
      <w:pPr>
        <w:pStyle w:val="ListParagraph"/>
        <w:numPr>
          <w:ilvl w:val="2"/>
          <w:numId w:val="22"/>
        </w:numPr>
        <w:spacing w:before="0" w:after="160"/>
      </w:pPr>
      <w:r w:rsidRPr="001D7405">
        <w:t>program costs are presented in Section 1</w:t>
      </w:r>
    </w:p>
    <w:p w:rsidR="00583ACC" w:rsidRPr="001D7405" w:rsidRDefault="00583ACC" w:rsidP="00D43846">
      <w:pPr>
        <w:pStyle w:val="ListParagraph"/>
        <w:numPr>
          <w:ilvl w:val="2"/>
          <w:numId w:val="22"/>
        </w:numPr>
        <w:spacing w:before="0" w:after="160"/>
      </w:pPr>
      <w:r w:rsidRPr="001D7405">
        <w:t xml:space="preserve">Section 2 provides a broad discussion of the types of outcomes achieved for individuals and community for both ALNSW and ELNSW </w:t>
      </w:r>
    </w:p>
    <w:p w:rsidR="00583ACC" w:rsidRPr="001D7405" w:rsidRDefault="00583ACC" w:rsidP="00D43846">
      <w:pPr>
        <w:pStyle w:val="ListParagraph"/>
        <w:numPr>
          <w:ilvl w:val="2"/>
          <w:numId w:val="22"/>
        </w:numPr>
        <w:spacing w:before="0" w:after="160"/>
      </w:pPr>
      <w:r w:rsidRPr="001D7405">
        <w:t>Section 3 presents the quantification of benefits – including the methodology behind attribution and values used</w:t>
      </w:r>
    </w:p>
    <w:p w:rsidR="00583ACC" w:rsidRPr="001D7405" w:rsidRDefault="00583ACC" w:rsidP="00D43846">
      <w:pPr>
        <w:pStyle w:val="ListParagraph"/>
        <w:numPr>
          <w:ilvl w:val="2"/>
          <w:numId w:val="22"/>
        </w:numPr>
        <w:spacing w:before="0" w:after="160"/>
      </w:pPr>
      <w:r w:rsidRPr="001D7405">
        <w:t>Section 4 presents the Cost Benefit Analysis – comparing the value of benefits against costs, and offering conclusions.</w:t>
      </w:r>
    </w:p>
    <w:p w:rsidR="00F128B7" w:rsidRDefault="00F128B7" w:rsidP="00583ACC">
      <w:pPr>
        <w:pStyle w:val="Heading1"/>
        <w:keepLines/>
        <w:tabs>
          <w:tab w:val="clear" w:pos="851"/>
        </w:tabs>
        <w:spacing w:before="0" w:after="160"/>
        <w:contextualSpacing w:val="0"/>
        <w:sectPr w:rsidR="00F128B7" w:rsidSect="00F57DE5">
          <w:headerReference w:type="even" r:id="rId25"/>
          <w:headerReference w:type="default" r:id="rId26"/>
          <w:footerReference w:type="even" r:id="rId27"/>
          <w:footerReference w:type="default" r:id="rId28"/>
          <w:type w:val="continuous"/>
          <w:pgSz w:w="11907" w:h="16840" w:code="9"/>
          <w:pgMar w:top="1134" w:right="1134" w:bottom="1418" w:left="1417" w:header="272" w:footer="340" w:gutter="0"/>
          <w:cols w:space="708"/>
          <w:docGrid w:linePitch="360"/>
        </w:sectPr>
      </w:pPr>
      <w:bookmarkStart w:id="77" w:name="_Toc465259715"/>
      <w:bookmarkStart w:id="78" w:name="_Toc465092199"/>
      <w:bookmarkEnd w:id="68"/>
    </w:p>
    <w:p w:rsidR="00583ACC" w:rsidRDefault="00583ACC" w:rsidP="00583ACC">
      <w:pPr>
        <w:pStyle w:val="Heading1"/>
        <w:keepLines/>
        <w:tabs>
          <w:tab w:val="clear" w:pos="851"/>
        </w:tabs>
        <w:spacing w:before="0" w:after="160"/>
        <w:contextualSpacing w:val="0"/>
      </w:pPr>
      <w:bookmarkStart w:id="79" w:name="_Toc467133519"/>
      <w:r>
        <w:lastRenderedPageBreak/>
        <w:t>Program costs</w:t>
      </w:r>
      <w:bookmarkEnd w:id="77"/>
      <w:bookmarkEnd w:id="79"/>
    </w:p>
    <w:p w:rsidR="00583ACC" w:rsidRPr="001D7405" w:rsidRDefault="00583ACC" w:rsidP="00583ACC">
      <w:r w:rsidRPr="001D7405">
        <w:t xml:space="preserve">ALNSW and ELNSW program costs were provided by NSW FACS for the 2015-16 financial </w:t>
      </w:r>
      <w:proofErr w:type="gramStart"/>
      <w:r w:rsidRPr="001D7405">
        <w:t>year</w:t>
      </w:r>
      <w:proofErr w:type="gramEnd"/>
      <w:r w:rsidRPr="001D7405">
        <w:t>. There were 347 Linkers in 2015-16, 79 of which are Early Linkers, supporting children 0-8 years and their families, and 74 Aboriginal-identified Linkers, with the total cost for the program at $42.5 million</w:t>
      </w:r>
      <w:r w:rsidRPr="001D7405">
        <w:rPr>
          <w:rStyle w:val="FootnoteReference"/>
        </w:rPr>
        <w:footnoteReference w:id="1"/>
      </w:r>
      <w:r w:rsidRPr="001D7405">
        <w:t xml:space="preserve">. A detailed breakdown of costs is provided in </w:t>
      </w:r>
      <w:r w:rsidRPr="001D7405">
        <w:fldChar w:fldCharType="begin"/>
      </w:r>
      <w:r w:rsidRPr="001D7405">
        <w:instrText xml:space="preserve"> REF _Ref457835023 \h </w:instrText>
      </w:r>
      <w:r w:rsidR="00D14BF8" w:rsidRPr="001D7405">
        <w:instrText xml:space="preserve"> \* MERGEFORMAT </w:instrText>
      </w:r>
      <w:r w:rsidRPr="001D7405">
        <w:fldChar w:fldCharType="separate"/>
      </w:r>
      <w:r w:rsidR="00770791" w:rsidRPr="00994C7C">
        <w:t xml:space="preserve">Table </w:t>
      </w:r>
      <w:r w:rsidR="00770791">
        <w:rPr>
          <w:noProof/>
        </w:rPr>
        <w:t>1</w:t>
      </w:r>
      <w:r w:rsidR="00770791" w:rsidRPr="00994C7C">
        <w:rPr>
          <w:noProof/>
        </w:rPr>
        <w:noBreakHyphen/>
      </w:r>
      <w:r w:rsidR="00770791">
        <w:rPr>
          <w:noProof/>
        </w:rPr>
        <w:t>1</w:t>
      </w:r>
      <w:r w:rsidRPr="001D7405">
        <w:fldChar w:fldCharType="end"/>
      </w:r>
      <w:r w:rsidRPr="001D7405">
        <w:t xml:space="preserve"> </w:t>
      </w:r>
      <w:r w:rsidR="00963F4C">
        <w:t>following</w:t>
      </w:r>
      <w:r w:rsidRPr="001D7405">
        <w:t>.</w:t>
      </w:r>
    </w:p>
    <w:p w:rsidR="00583ACC" w:rsidRPr="00994C7C" w:rsidRDefault="00583ACC" w:rsidP="00583ACC">
      <w:pPr>
        <w:pStyle w:val="Caption"/>
        <w:rPr>
          <w:sz w:val="20"/>
          <w:szCs w:val="20"/>
        </w:rPr>
      </w:pPr>
      <w:bookmarkStart w:id="80" w:name="_Ref457835023"/>
      <w:bookmarkStart w:id="81" w:name="_Toc466025145"/>
      <w:bookmarkStart w:id="82" w:name="_Toc467137548"/>
      <w:r w:rsidRPr="00994C7C">
        <w:rPr>
          <w:sz w:val="20"/>
          <w:szCs w:val="20"/>
        </w:rPr>
        <w:t xml:space="preserve">Table </w:t>
      </w:r>
      <w:r w:rsidRPr="00994C7C">
        <w:rPr>
          <w:sz w:val="20"/>
          <w:szCs w:val="20"/>
        </w:rPr>
        <w:fldChar w:fldCharType="begin"/>
      </w:r>
      <w:r w:rsidRPr="00994C7C">
        <w:rPr>
          <w:sz w:val="20"/>
          <w:szCs w:val="20"/>
        </w:rPr>
        <w:instrText xml:space="preserve"> STYLEREF 1 \s </w:instrText>
      </w:r>
      <w:r w:rsidRPr="00994C7C">
        <w:rPr>
          <w:sz w:val="20"/>
          <w:szCs w:val="20"/>
        </w:rPr>
        <w:fldChar w:fldCharType="separate"/>
      </w:r>
      <w:r w:rsidR="00770791">
        <w:rPr>
          <w:noProof/>
          <w:sz w:val="20"/>
          <w:szCs w:val="20"/>
        </w:rPr>
        <w:t>1</w:t>
      </w:r>
      <w:r w:rsidRPr="00994C7C">
        <w:rPr>
          <w:noProof/>
          <w:sz w:val="20"/>
          <w:szCs w:val="20"/>
        </w:rPr>
        <w:fldChar w:fldCharType="end"/>
      </w:r>
      <w:r w:rsidRPr="00994C7C">
        <w:rPr>
          <w:sz w:val="20"/>
          <w:szCs w:val="20"/>
        </w:rPr>
        <w:noBreakHyphen/>
      </w:r>
      <w:r w:rsidRPr="00994C7C">
        <w:rPr>
          <w:sz w:val="20"/>
          <w:szCs w:val="20"/>
        </w:rPr>
        <w:fldChar w:fldCharType="begin"/>
      </w:r>
      <w:r w:rsidRPr="00994C7C">
        <w:rPr>
          <w:sz w:val="20"/>
          <w:szCs w:val="20"/>
        </w:rPr>
        <w:instrText xml:space="preserve"> SEQ Table \* ARABIC \s 1 </w:instrText>
      </w:r>
      <w:r w:rsidRPr="00994C7C">
        <w:rPr>
          <w:sz w:val="20"/>
          <w:szCs w:val="20"/>
        </w:rPr>
        <w:fldChar w:fldCharType="separate"/>
      </w:r>
      <w:r w:rsidR="00770791">
        <w:rPr>
          <w:noProof/>
          <w:sz w:val="20"/>
          <w:szCs w:val="20"/>
        </w:rPr>
        <w:t>1</w:t>
      </w:r>
      <w:r w:rsidRPr="00994C7C">
        <w:rPr>
          <w:noProof/>
          <w:sz w:val="20"/>
          <w:szCs w:val="20"/>
        </w:rPr>
        <w:fldChar w:fldCharType="end"/>
      </w:r>
      <w:bookmarkEnd w:id="80"/>
      <w:r w:rsidRPr="00994C7C">
        <w:rPr>
          <w:sz w:val="20"/>
          <w:szCs w:val="20"/>
        </w:rPr>
        <w:t xml:space="preserve"> – Detailed program costs</w:t>
      </w:r>
      <w:bookmarkEnd w:id="81"/>
      <w:bookmarkEnd w:id="82"/>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The costs association with ALNSW"/>
      </w:tblPr>
      <w:tblGrid>
        <w:gridCol w:w="6025"/>
        <w:gridCol w:w="3547"/>
      </w:tblGrid>
      <w:tr w:rsidR="00583ACC" w:rsidRPr="00583ACC" w:rsidTr="004D1DBB">
        <w:trPr>
          <w:cnfStyle w:val="100000000000" w:firstRow="1" w:lastRow="0" w:firstColumn="0" w:lastColumn="0" w:oddVBand="0" w:evenVBand="0" w:oddHBand="0" w:evenHBand="0" w:firstRowFirstColumn="0" w:firstRowLastColumn="0" w:lastRowFirstColumn="0" w:lastRowLastColumn="0"/>
          <w:tblHeader/>
        </w:trPr>
        <w:tc>
          <w:tcPr>
            <w:tcW w:w="60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583ACC" w:rsidRPr="00583ACC" w:rsidRDefault="00583ACC" w:rsidP="0012750B">
            <w:pPr>
              <w:spacing w:after="60"/>
              <w:rPr>
                <w:b/>
                <w:color w:val="auto"/>
              </w:rPr>
            </w:pPr>
            <w:bookmarkStart w:id="83" w:name="ColumnTitle_Table2_1"/>
            <w:bookmarkEnd w:id="83"/>
            <w:r w:rsidRPr="00583ACC">
              <w:rPr>
                <w:b/>
                <w:color w:val="auto"/>
              </w:rPr>
              <w:t>Item</w:t>
            </w:r>
          </w:p>
        </w:tc>
        <w:tc>
          <w:tcPr>
            <w:tcW w:w="35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583ACC" w:rsidRPr="00583ACC" w:rsidRDefault="00583ACC" w:rsidP="0012750B">
            <w:pPr>
              <w:spacing w:after="60"/>
              <w:rPr>
                <w:b/>
                <w:color w:val="auto"/>
              </w:rPr>
            </w:pPr>
            <w:r w:rsidRPr="00583ACC">
              <w:rPr>
                <w:b/>
                <w:color w:val="auto"/>
              </w:rPr>
              <w:t>Value</w:t>
            </w:r>
          </w:p>
        </w:tc>
      </w:tr>
      <w:tr w:rsidR="00583ACC" w:rsidTr="004D1DBB">
        <w:trPr>
          <w:cnfStyle w:val="000000100000" w:firstRow="0" w:lastRow="0" w:firstColumn="0" w:lastColumn="0" w:oddVBand="0" w:evenVBand="0" w:oddHBand="1" w:evenHBand="0" w:firstRowFirstColumn="0" w:firstRowLastColumn="0" w:lastRowFirstColumn="0" w:lastRowLastColumn="0"/>
        </w:trPr>
        <w:tc>
          <w:tcPr>
            <w:tcW w:w="6062" w:type="dxa"/>
            <w:shd w:val="clear" w:color="auto" w:fill="auto"/>
            <w:vAlign w:val="top"/>
          </w:tcPr>
          <w:p w:rsidR="00583ACC" w:rsidRDefault="00583ACC" w:rsidP="0012750B">
            <w:pPr>
              <w:spacing w:after="60"/>
            </w:pPr>
            <w:r>
              <w:t>Funded cost per Linker (exc. brokerage)</w:t>
            </w:r>
          </w:p>
        </w:tc>
        <w:tc>
          <w:tcPr>
            <w:tcW w:w="3566" w:type="dxa"/>
            <w:shd w:val="clear" w:color="auto" w:fill="auto"/>
            <w:vAlign w:val="top"/>
          </w:tcPr>
          <w:p w:rsidR="00583ACC" w:rsidRDefault="00583ACC" w:rsidP="0012750B">
            <w:pPr>
              <w:spacing w:after="60"/>
            </w:pPr>
            <w:r>
              <w:t>$117,245</w:t>
            </w:r>
          </w:p>
        </w:tc>
      </w:tr>
      <w:tr w:rsidR="00583ACC" w:rsidTr="004D1DBB">
        <w:tc>
          <w:tcPr>
            <w:tcW w:w="6062" w:type="dxa"/>
            <w:vAlign w:val="top"/>
          </w:tcPr>
          <w:p w:rsidR="00583ACC" w:rsidRDefault="00583ACC" w:rsidP="0012750B">
            <w:pPr>
              <w:spacing w:after="60"/>
            </w:pPr>
            <w:r>
              <w:t>Allocated brokerage budget per Linker</w:t>
            </w:r>
          </w:p>
        </w:tc>
        <w:tc>
          <w:tcPr>
            <w:tcW w:w="3566" w:type="dxa"/>
            <w:vAlign w:val="top"/>
          </w:tcPr>
          <w:p w:rsidR="00583ACC" w:rsidRDefault="00583ACC" w:rsidP="0012750B">
            <w:pPr>
              <w:spacing w:after="60"/>
            </w:pPr>
            <w:r>
              <w:t>$5,749</w:t>
            </w:r>
          </w:p>
        </w:tc>
      </w:tr>
      <w:tr w:rsidR="00583ACC" w:rsidTr="004D1DBB">
        <w:trPr>
          <w:cnfStyle w:val="000000100000" w:firstRow="0" w:lastRow="0" w:firstColumn="0" w:lastColumn="0" w:oddVBand="0" w:evenVBand="0" w:oddHBand="1" w:evenHBand="0" w:firstRowFirstColumn="0" w:firstRowLastColumn="0" w:lastRowFirstColumn="0" w:lastRowLastColumn="0"/>
        </w:trPr>
        <w:tc>
          <w:tcPr>
            <w:tcW w:w="6062" w:type="dxa"/>
            <w:shd w:val="clear" w:color="auto" w:fill="auto"/>
            <w:vAlign w:val="top"/>
          </w:tcPr>
          <w:p w:rsidR="00583ACC" w:rsidRDefault="00583ACC" w:rsidP="0012750B">
            <w:pPr>
              <w:spacing w:after="60"/>
            </w:pPr>
            <w:r>
              <w:t>Actual brokerage funds used per Linker*</w:t>
            </w:r>
          </w:p>
        </w:tc>
        <w:tc>
          <w:tcPr>
            <w:tcW w:w="3566" w:type="dxa"/>
            <w:shd w:val="clear" w:color="auto" w:fill="auto"/>
            <w:vAlign w:val="top"/>
          </w:tcPr>
          <w:p w:rsidR="00583ACC" w:rsidRDefault="00583ACC" w:rsidP="0012750B">
            <w:pPr>
              <w:spacing w:after="60"/>
            </w:pPr>
            <w:r>
              <w:t>$1,437</w:t>
            </w:r>
          </w:p>
        </w:tc>
      </w:tr>
      <w:tr w:rsidR="00583ACC" w:rsidTr="004D1DBB">
        <w:tc>
          <w:tcPr>
            <w:tcW w:w="6062" w:type="dxa"/>
            <w:vAlign w:val="top"/>
          </w:tcPr>
          <w:p w:rsidR="00583ACC" w:rsidRDefault="00583ACC" w:rsidP="0012750B">
            <w:pPr>
              <w:spacing w:after="60"/>
            </w:pPr>
            <w:r>
              <w:t>Total cost per Linker (</w:t>
            </w:r>
            <w:proofErr w:type="spellStart"/>
            <w:r>
              <w:t>inc.</w:t>
            </w:r>
            <w:proofErr w:type="spellEnd"/>
            <w:r>
              <w:t xml:space="preserve"> brokerage)</w:t>
            </w:r>
          </w:p>
        </w:tc>
        <w:tc>
          <w:tcPr>
            <w:tcW w:w="3566" w:type="dxa"/>
            <w:vAlign w:val="top"/>
          </w:tcPr>
          <w:p w:rsidR="00583ACC" w:rsidRDefault="00583ACC" w:rsidP="0012750B">
            <w:pPr>
              <w:spacing w:after="60"/>
            </w:pPr>
            <w:r>
              <w:t>$118,682</w:t>
            </w:r>
          </w:p>
        </w:tc>
      </w:tr>
      <w:tr w:rsidR="00583ACC" w:rsidTr="004D1DBB">
        <w:trPr>
          <w:cnfStyle w:val="000000100000" w:firstRow="0" w:lastRow="0" w:firstColumn="0" w:lastColumn="0" w:oddVBand="0" w:evenVBand="0" w:oddHBand="1" w:evenHBand="0" w:firstRowFirstColumn="0" w:firstRowLastColumn="0" w:lastRowFirstColumn="0" w:lastRowLastColumn="0"/>
        </w:trPr>
        <w:tc>
          <w:tcPr>
            <w:tcW w:w="6062" w:type="dxa"/>
            <w:shd w:val="clear" w:color="auto" w:fill="auto"/>
            <w:vAlign w:val="top"/>
          </w:tcPr>
          <w:p w:rsidR="00583ACC" w:rsidRDefault="00583ACC" w:rsidP="0012750B">
            <w:pPr>
              <w:spacing w:after="60"/>
            </w:pPr>
            <w:r>
              <w:t>Total Linker package cost</w:t>
            </w:r>
          </w:p>
        </w:tc>
        <w:tc>
          <w:tcPr>
            <w:tcW w:w="3566" w:type="dxa"/>
            <w:shd w:val="clear" w:color="auto" w:fill="auto"/>
            <w:vAlign w:val="top"/>
          </w:tcPr>
          <w:p w:rsidR="00583ACC" w:rsidRDefault="00583ACC" w:rsidP="0012750B">
            <w:pPr>
              <w:spacing w:after="60"/>
            </w:pPr>
            <w:r>
              <w:t>$41.2 million</w:t>
            </w:r>
          </w:p>
        </w:tc>
      </w:tr>
      <w:tr w:rsidR="00583ACC" w:rsidTr="004D1DBB">
        <w:tc>
          <w:tcPr>
            <w:tcW w:w="6062" w:type="dxa"/>
            <w:vAlign w:val="top"/>
          </w:tcPr>
          <w:p w:rsidR="00583ACC" w:rsidRDefault="00583ACC" w:rsidP="0012750B">
            <w:pPr>
              <w:spacing w:after="60"/>
            </w:pPr>
            <w:r>
              <w:t>Other program costs</w:t>
            </w:r>
          </w:p>
        </w:tc>
        <w:tc>
          <w:tcPr>
            <w:tcW w:w="3566" w:type="dxa"/>
            <w:vAlign w:val="top"/>
          </w:tcPr>
          <w:p w:rsidR="00583ACC" w:rsidRDefault="00583ACC" w:rsidP="0012750B">
            <w:pPr>
              <w:spacing w:after="60"/>
            </w:pPr>
            <w:r>
              <w:t>$1.3 million</w:t>
            </w:r>
          </w:p>
        </w:tc>
      </w:tr>
      <w:tr w:rsidR="00583ACC" w:rsidTr="004D1DBB">
        <w:trPr>
          <w:cnfStyle w:val="000000100000" w:firstRow="0" w:lastRow="0" w:firstColumn="0" w:lastColumn="0" w:oddVBand="0" w:evenVBand="0" w:oddHBand="1" w:evenHBand="0" w:firstRowFirstColumn="0" w:firstRowLastColumn="0" w:lastRowFirstColumn="0" w:lastRowLastColumn="0"/>
        </w:trPr>
        <w:tc>
          <w:tcPr>
            <w:tcW w:w="6062" w:type="dxa"/>
            <w:shd w:val="clear" w:color="auto" w:fill="auto"/>
            <w:vAlign w:val="top"/>
          </w:tcPr>
          <w:p w:rsidR="00583ACC" w:rsidRPr="000B63C9" w:rsidRDefault="00583ACC" w:rsidP="0012750B">
            <w:pPr>
              <w:spacing w:after="60"/>
              <w:rPr>
                <w:b/>
              </w:rPr>
            </w:pPr>
            <w:r w:rsidRPr="000B63C9">
              <w:rPr>
                <w:b/>
              </w:rPr>
              <w:t>Total cost</w:t>
            </w:r>
          </w:p>
        </w:tc>
        <w:tc>
          <w:tcPr>
            <w:tcW w:w="3566" w:type="dxa"/>
            <w:shd w:val="clear" w:color="auto" w:fill="auto"/>
            <w:vAlign w:val="top"/>
          </w:tcPr>
          <w:p w:rsidR="00583ACC" w:rsidRPr="000B63C9" w:rsidRDefault="00583ACC" w:rsidP="0012750B">
            <w:pPr>
              <w:spacing w:after="60"/>
              <w:rPr>
                <w:b/>
              </w:rPr>
            </w:pPr>
            <w:r w:rsidRPr="000B63C9">
              <w:rPr>
                <w:b/>
              </w:rPr>
              <w:t>$42.5 million</w:t>
            </w:r>
          </w:p>
        </w:tc>
      </w:tr>
    </w:tbl>
    <w:p w:rsidR="00583ACC" w:rsidRPr="001D7405" w:rsidRDefault="001D7405" w:rsidP="00583ACC">
      <w:pPr>
        <w:rPr>
          <w:sz w:val="18"/>
        </w:rPr>
      </w:pPr>
      <w:r>
        <w:rPr>
          <w:sz w:val="18"/>
        </w:rPr>
        <w:t>* A</w:t>
      </w:r>
      <w:r w:rsidR="00583ACC" w:rsidRPr="001D7405">
        <w:rPr>
          <w:sz w:val="18"/>
        </w:rPr>
        <w:t>ssume only 25% of brokerage funds spent by each Linker, based on information provided by NSW FACS</w:t>
      </w:r>
      <w:r w:rsidR="00583ACC" w:rsidRPr="001D7405">
        <w:rPr>
          <w:sz w:val="18"/>
        </w:rPr>
        <w:br/>
        <w:t xml:space="preserve">Source: NSW FACS, Urbis </w:t>
      </w:r>
    </w:p>
    <w:p w:rsidR="00583ACC" w:rsidRPr="001D7405" w:rsidRDefault="00583ACC" w:rsidP="00583ACC">
      <w:r w:rsidRPr="001D7405">
        <w:t xml:space="preserve">While costs are not allocated separately across ALNSW and ELNSW, Urbis has estimated the cost for each service based on the proportion of Linkers in each program. This is explained further in Section </w:t>
      </w:r>
      <w:r w:rsidRPr="001D7405">
        <w:fldChar w:fldCharType="begin"/>
      </w:r>
      <w:r w:rsidRPr="001D7405">
        <w:instrText xml:space="preserve"> REF _Ref460481597 \r \h </w:instrText>
      </w:r>
      <w:r w:rsidRPr="001D7405">
        <w:fldChar w:fldCharType="separate"/>
      </w:r>
      <w:r w:rsidRPr="001D7405">
        <w:t>4</w:t>
      </w:r>
      <w:r w:rsidRPr="001D7405">
        <w:fldChar w:fldCharType="end"/>
      </w:r>
      <w:r w:rsidRPr="001D7405">
        <w:t>.</w:t>
      </w:r>
    </w:p>
    <w:p w:rsidR="00583ACC" w:rsidRPr="001D7405" w:rsidRDefault="00583ACC" w:rsidP="00583ACC">
      <w:r w:rsidRPr="001D7405">
        <w:t>Program costs provided by NSW FACS for 2015-16 are higher than those forecast in the 2015 report. In the previous report, program costs for 2015-16 were forecast at $30.8 million. Most of this difference can be attributed to the previous report not including ELNSW program costs.</w:t>
      </w:r>
    </w:p>
    <w:p w:rsidR="00583ACC" w:rsidRDefault="00583ACC" w:rsidP="00583ACC">
      <w:pPr>
        <w:pStyle w:val="Heading1"/>
        <w:keepLines/>
        <w:tabs>
          <w:tab w:val="clear" w:pos="851"/>
        </w:tabs>
        <w:spacing w:before="0" w:after="160"/>
        <w:contextualSpacing w:val="0"/>
      </w:pPr>
      <w:bookmarkStart w:id="84" w:name="_Ref460335866"/>
      <w:bookmarkStart w:id="85" w:name="_Ref460419415"/>
      <w:bookmarkStart w:id="86" w:name="_Toc465259716"/>
      <w:bookmarkStart w:id="87" w:name="_Toc467133520"/>
      <w:bookmarkStart w:id="88" w:name="_Toc460240549"/>
      <w:bookmarkStart w:id="89" w:name="_Toc465092210"/>
      <w:bookmarkEnd w:id="78"/>
      <w:r>
        <w:lastRenderedPageBreak/>
        <w:t>Individual and community outcome</w:t>
      </w:r>
      <w:bookmarkEnd w:id="84"/>
      <w:bookmarkEnd w:id="85"/>
      <w:r>
        <w:t>s</w:t>
      </w:r>
      <w:bookmarkEnd w:id="86"/>
      <w:bookmarkEnd w:id="87"/>
    </w:p>
    <w:p w:rsidR="00583ACC" w:rsidRPr="001D7405" w:rsidRDefault="00583ACC" w:rsidP="00583ACC">
      <w:r w:rsidRPr="001D7405">
        <w:t>This Section details ALNSW and ELNSW program outcomes. Outcomes were reported over the six</w:t>
      </w:r>
      <w:r w:rsidRPr="001D7405">
        <w:noBreakHyphen/>
        <w:t>month period January to June 2016, but have been extrapolated to provide outcomes for the full financial year 2015-16.</w:t>
      </w:r>
    </w:p>
    <w:p w:rsidR="00583ACC" w:rsidRPr="001D7405" w:rsidRDefault="00583ACC" w:rsidP="00583ACC">
      <w:r w:rsidRPr="001D7405">
        <w:t xml:space="preserve">Outcomes data provided by NSW FACS were recorded for ALNSW and ELNSW, and cover individual and community outcomes. </w:t>
      </w:r>
    </w:p>
    <w:p w:rsidR="00583ACC" w:rsidRPr="001D7405" w:rsidRDefault="00583ACC" w:rsidP="00583ACC">
      <w:r w:rsidRPr="001D7405">
        <w:t xml:space="preserve">Over 2015-16, there were an estimated 43,533 instances of people who engaged with either ALNSW or ELNSW. Of these, 29,410 were provided with information only, 3,747 are working towards achieving an outcome, and 10,376 achieved an outcome. </w:t>
      </w:r>
    </w:p>
    <w:p w:rsidR="00583ACC" w:rsidRPr="001D7405" w:rsidRDefault="00583ACC" w:rsidP="00583ACC">
      <w:r w:rsidRPr="001D7405">
        <w:t>The total number of individual outcomes achieved was estimated at 18,864. In addition to individual outcomes, 2,132 community outcomes were achieved.</w:t>
      </w:r>
    </w:p>
    <w:p w:rsidR="00583ACC" w:rsidRPr="001D7405" w:rsidRDefault="00583ACC" w:rsidP="00583ACC">
      <w:r w:rsidRPr="001D7405">
        <w:rPr>
          <w:b/>
        </w:rPr>
        <w:t>Individual outcomes</w:t>
      </w:r>
      <w:r w:rsidRPr="001D7405">
        <w:t xml:space="preserve"> are recorded against four categories:</w:t>
      </w:r>
    </w:p>
    <w:p w:rsidR="00583ACC" w:rsidRPr="001D7405" w:rsidRDefault="00583ACC" w:rsidP="00D43846">
      <w:pPr>
        <w:pStyle w:val="ListBullet"/>
        <w:numPr>
          <w:ilvl w:val="0"/>
          <w:numId w:val="17"/>
        </w:numPr>
        <w:rPr>
          <w:color w:val="auto"/>
        </w:rPr>
      </w:pPr>
      <w:r w:rsidRPr="001D7405">
        <w:rPr>
          <w:color w:val="auto"/>
        </w:rPr>
        <w:t>social, community and civic participation</w:t>
      </w:r>
    </w:p>
    <w:p w:rsidR="00583ACC" w:rsidRPr="001D7405" w:rsidRDefault="00583ACC" w:rsidP="00D43846">
      <w:pPr>
        <w:pStyle w:val="ListBullet"/>
        <w:numPr>
          <w:ilvl w:val="0"/>
          <w:numId w:val="17"/>
        </w:numPr>
        <w:rPr>
          <w:color w:val="auto"/>
        </w:rPr>
      </w:pPr>
      <w:r w:rsidRPr="001D7405">
        <w:rPr>
          <w:color w:val="auto"/>
        </w:rPr>
        <w:t>service engagement</w:t>
      </w:r>
    </w:p>
    <w:p w:rsidR="00583ACC" w:rsidRPr="001D7405" w:rsidRDefault="00583ACC" w:rsidP="00D43846">
      <w:pPr>
        <w:pStyle w:val="ListBullet"/>
        <w:numPr>
          <w:ilvl w:val="0"/>
          <w:numId w:val="17"/>
        </w:numPr>
        <w:rPr>
          <w:color w:val="auto"/>
        </w:rPr>
      </w:pPr>
      <w:r w:rsidRPr="001D7405">
        <w:rPr>
          <w:color w:val="auto"/>
        </w:rPr>
        <w:t>employment</w:t>
      </w:r>
    </w:p>
    <w:p w:rsidR="00583ACC" w:rsidRPr="001D7405" w:rsidRDefault="00583ACC" w:rsidP="00D43846">
      <w:pPr>
        <w:pStyle w:val="ListBullet"/>
        <w:numPr>
          <w:ilvl w:val="0"/>
          <w:numId w:val="17"/>
        </w:numPr>
        <w:rPr>
          <w:color w:val="auto"/>
        </w:rPr>
      </w:pPr>
      <w:proofErr w:type="gramStart"/>
      <w:r w:rsidRPr="001D7405">
        <w:rPr>
          <w:color w:val="auto"/>
        </w:rPr>
        <w:t>education</w:t>
      </w:r>
      <w:proofErr w:type="gramEnd"/>
      <w:r w:rsidRPr="001D7405">
        <w:rPr>
          <w:color w:val="auto"/>
        </w:rPr>
        <w:t xml:space="preserve"> and training. </w:t>
      </w:r>
    </w:p>
    <w:p w:rsidR="00583ACC" w:rsidRPr="001D7405" w:rsidRDefault="00583ACC" w:rsidP="00583ACC">
      <w:r w:rsidRPr="001D7405">
        <w:rPr>
          <w:b/>
        </w:rPr>
        <w:t>Community outcomes</w:t>
      </w:r>
      <w:r w:rsidRPr="001D7405">
        <w:t xml:space="preserve"> are recorded across three categories:</w:t>
      </w:r>
    </w:p>
    <w:p w:rsidR="00583ACC" w:rsidRPr="001D7405" w:rsidRDefault="00583ACC" w:rsidP="00D43846">
      <w:pPr>
        <w:pStyle w:val="ListBullet"/>
        <w:numPr>
          <w:ilvl w:val="0"/>
          <w:numId w:val="18"/>
        </w:numPr>
        <w:rPr>
          <w:color w:val="auto"/>
        </w:rPr>
      </w:pPr>
      <w:r w:rsidRPr="001D7405">
        <w:rPr>
          <w:color w:val="auto"/>
        </w:rPr>
        <w:t xml:space="preserve">improved physical and environmental accessibility </w:t>
      </w:r>
    </w:p>
    <w:p w:rsidR="00583ACC" w:rsidRPr="001D7405" w:rsidRDefault="00583ACC" w:rsidP="00D43846">
      <w:pPr>
        <w:pStyle w:val="ListBullet"/>
        <w:numPr>
          <w:ilvl w:val="0"/>
          <w:numId w:val="18"/>
        </w:numPr>
        <w:rPr>
          <w:color w:val="auto"/>
        </w:rPr>
      </w:pPr>
      <w:r w:rsidRPr="001D7405">
        <w:rPr>
          <w:color w:val="auto"/>
        </w:rPr>
        <w:t>business practice/service improvement</w:t>
      </w:r>
    </w:p>
    <w:p w:rsidR="00583ACC" w:rsidRPr="001D7405" w:rsidRDefault="00583ACC" w:rsidP="00D43846">
      <w:pPr>
        <w:pStyle w:val="ListBullet"/>
        <w:numPr>
          <w:ilvl w:val="0"/>
          <w:numId w:val="18"/>
        </w:numPr>
        <w:rPr>
          <w:color w:val="auto"/>
        </w:rPr>
      </w:pPr>
      <w:proofErr w:type="gramStart"/>
      <w:r w:rsidRPr="001D7405">
        <w:rPr>
          <w:color w:val="auto"/>
        </w:rPr>
        <w:t>business/organisation</w:t>
      </w:r>
      <w:proofErr w:type="gramEnd"/>
      <w:r w:rsidRPr="001D7405">
        <w:rPr>
          <w:color w:val="auto"/>
        </w:rPr>
        <w:t xml:space="preserve"> leadership. </w:t>
      </w:r>
    </w:p>
    <w:p w:rsidR="00583ACC" w:rsidRPr="001D7405" w:rsidRDefault="00583ACC" w:rsidP="00583ACC">
      <w:r w:rsidRPr="001D7405">
        <w:t xml:space="preserve">Where an outcome could not be clearly classified under one of these categories, it has been omitted from this study. </w:t>
      </w:r>
    </w:p>
    <w:p w:rsidR="00583ACC" w:rsidRPr="001D7405" w:rsidRDefault="00583ACC" w:rsidP="00583ACC">
      <w:r w:rsidRPr="001D7405">
        <w:t>NSW FACS also provided data for Aboriginal participants who achieved an outcome only. Extrapolated to 2015-16, there were 2,808 Aboriginal participants across ALNSW and ELNSW who achieved an outcome. Across all 2,808 Aboriginal participants, 6,246 outcomes were achieved. Detailed individual outcomes for Aboriginal participants are included in</w:t>
      </w:r>
      <w:r w:rsidR="006725B8">
        <w:t xml:space="preserve"> Appendix </w:t>
      </w:r>
      <w:proofErr w:type="gramStart"/>
      <w:r w:rsidR="006725B8">
        <w:t>A</w:t>
      </w:r>
      <w:r w:rsidRPr="001D7405">
        <w:t>,</w:t>
      </w:r>
      <w:proofErr w:type="gramEnd"/>
      <w:r w:rsidRPr="001D7405">
        <w:t xml:space="preserve"> and Social CBA indicators for Aboriginal participants in Section </w:t>
      </w:r>
      <w:r w:rsidRPr="001D7405">
        <w:fldChar w:fldCharType="begin"/>
      </w:r>
      <w:r w:rsidRPr="001D7405">
        <w:instrText xml:space="preserve"> REF _Ref463880423 \r \h </w:instrText>
      </w:r>
      <w:r w:rsidRPr="001D7405">
        <w:fldChar w:fldCharType="separate"/>
      </w:r>
      <w:r w:rsidR="00940CA3">
        <w:t>4.2</w:t>
      </w:r>
      <w:r w:rsidRPr="001D7405">
        <w:fldChar w:fldCharType="end"/>
      </w:r>
      <w:r w:rsidRPr="001D7405">
        <w:t>.</w:t>
      </w:r>
    </w:p>
    <w:p w:rsidR="00583ACC" w:rsidRPr="001D7405" w:rsidRDefault="00583ACC" w:rsidP="00583ACC">
      <w:r w:rsidRPr="001D7405">
        <w:rPr>
          <w:b/>
        </w:rPr>
        <w:t>This report only evaluates the benefits to those participants who achieved an outcome, however, as can be seen, there are many more participants who received information only or are working toward an outcome. Thus, the benefits of the ALNSW and ELNSW programs in the long-run are likely to greatly exceed those outlined in this report</w:t>
      </w:r>
      <w:r w:rsidRPr="001D7405">
        <w:t>.</w:t>
      </w:r>
    </w:p>
    <w:p w:rsidR="00583ACC" w:rsidRDefault="00583ACC" w:rsidP="00583ACC">
      <w:pPr>
        <w:spacing w:after="0"/>
        <w:rPr>
          <w:rFonts w:ascii="Flama Cond Bold" w:hAnsi="Flama Cond Bold"/>
          <w:b/>
          <w:caps/>
          <w:color w:val="000000" w:themeColor="text1"/>
          <w:sz w:val="36"/>
          <w:szCs w:val="32"/>
        </w:rPr>
      </w:pPr>
      <w:bookmarkStart w:id="90" w:name="_Toc465259717"/>
      <w:r>
        <w:br w:type="page"/>
      </w:r>
    </w:p>
    <w:p w:rsidR="00583ACC" w:rsidRPr="00994C7C" w:rsidRDefault="00583ACC" w:rsidP="00D14BF8">
      <w:pPr>
        <w:pStyle w:val="Heading2"/>
        <w:spacing w:before="360"/>
        <w:rPr>
          <w:iCs w:val="0"/>
        </w:rPr>
      </w:pPr>
      <w:bookmarkStart w:id="91" w:name="_Toc467133521"/>
      <w:r w:rsidRPr="00994C7C">
        <w:rPr>
          <w:iCs w:val="0"/>
        </w:rPr>
        <w:lastRenderedPageBreak/>
        <w:t>Individual outcomes</w:t>
      </w:r>
      <w:bookmarkEnd w:id="90"/>
      <w:bookmarkEnd w:id="91"/>
    </w:p>
    <w:p w:rsidR="00583ACC" w:rsidRDefault="00583ACC" w:rsidP="00583ACC">
      <w:r>
        <w:fldChar w:fldCharType="begin"/>
      </w:r>
      <w:r>
        <w:instrText xml:space="preserve"> REF _Ref459200627 \h </w:instrText>
      </w:r>
      <w:r>
        <w:fldChar w:fldCharType="separate"/>
      </w:r>
      <w:r w:rsidR="00770791" w:rsidRPr="00994C7C">
        <w:t>Table</w:t>
      </w:r>
      <w:r w:rsidR="00770791">
        <w:t>s</w:t>
      </w:r>
      <w:r w:rsidR="00770791" w:rsidRPr="00994C7C">
        <w:t xml:space="preserve"> </w:t>
      </w:r>
      <w:r w:rsidR="00770791">
        <w:rPr>
          <w:noProof/>
        </w:rPr>
        <w:t>2</w:t>
      </w:r>
      <w:r w:rsidR="00770791" w:rsidRPr="00994C7C">
        <w:noBreakHyphen/>
      </w:r>
      <w:r w:rsidR="00770791">
        <w:rPr>
          <w:noProof/>
        </w:rPr>
        <w:t>1</w:t>
      </w:r>
      <w:r>
        <w:fldChar w:fldCharType="end"/>
      </w:r>
      <w:r w:rsidR="001D7405">
        <w:t xml:space="preserve"> </w:t>
      </w:r>
      <w:r>
        <w:t>details the outcomes achieved by individuals across the four categories. As previously noted, the twelve month figures have been extrapolated from data available over the six months January to June 2016.</w:t>
      </w:r>
    </w:p>
    <w:p w:rsidR="00583ACC" w:rsidRPr="00994C7C" w:rsidRDefault="00583ACC" w:rsidP="00583ACC">
      <w:pPr>
        <w:pStyle w:val="Caption"/>
        <w:rPr>
          <w:sz w:val="20"/>
          <w:szCs w:val="20"/>
        </w:rPr>
      </w:pPr>
      <w:bookmarkStart w:id="92" w:name="_Ref459200627"/>
      <w:bookmarkStart w:id="93" w:name="_Toc466025146"/>
      <w:bookmarkStart w:id="94" w:name="_Toc467137549"/>
      <w:r w:rsidRPr="00994C7C">
        <w:rPr>
          <w:sz w:val="20"/>
          <w:szCs w:val="20"/>
        </w:rPr>
        <w:t>Table</w:t>
      </w:r>
      <w:r w:rsidR="00B03354">
        <w:rPr>
          <w:sz w:val="20"/>
          <w:szCs w:val="20"/>
        </w:rPr>
        <w:t>s</w:t>
      </w:r>
      <w:r w:rsidRPr="00994C7C">
        <w:rPr>
          <w:sz w:val="20"/>
          <w:szCs w:val="20"/>
        </w:rPr>
        <w:t xml:space="preserve"> </w:t>
      </w:r>
      <w:r w:rsidRPr="00994C7C">
        <w:rPr>
          <w:sz w:val="20"/>
          <w:szCs w:val="20"/>
        </w:rPr>
        <w:fldChar w:fldCharType="begin"/>
      </w:r>
      <w:r w:rsidRPr="00994C7C">
        <w:rPr>
          <w:sz w:val="20"/>
          <w:szCs w:val="20"/>
        </w:rPr>
        <w:instrText xml:space="preserve"> STYLEREF 1 \s </w:instrText>
      </w:r>
      <w:r w:rsidRPr="00994C7C">
        <w:rPr>
          <w:sz w:val="20"/>
          <w:szCs w:val="20"/>
        </w:rPr>
        <w:fldChar w:fldCharType="separate"/>
      </w:r>
      <w:r w:rsidR="00770791">
        <w:rPr>
          <w:noProof/>
          <w:sz w:val="20"/>
          <w:szCs w:val="20"/>
        </w:rPr>
        <w:t>2</w:t>
      </w:r>
      <w:r w:rsidRPr="00994C7C">
        <w:rPr>
          <w:noProof/>
          <w:sz w:val="20"/>
          <w:szCs w:val="20"/>
        </w:rPr>
        <w:fldChar w:fldCharType="end"/>
      </w:r>
      <w:r w:rsidRPr="00994C7C">
        <w:rPr>
          <w:sz w:val="20"/>
          <w:szCs w:val="20"/>
        </w:rPr>
        <w:noBreakHyphen/>
      </w:r>
      <w:r w:rsidRPr="00994C7C">
        <w:rPr>
          <w:sz w:val="20"/>
          <w:szCs w:val="20"/>
        </w:rPr>
        <w:fldChar w:fldCharType="begin"/>
      </w:r>
      <w:r w:rsidRPr="00994C7C">
        <w:rPr>
          <w:sz w:val="20"/>
          <w:szCs w:val="20"/>
        </w:rPr>
        <w:instrText xml:space="preserve"> SEQ Table \* ARABIC \s 1 </w:instrText>
      </w:r>
      <w:r w:rsidRPr="00994C7C">
        <w:rPr>
          <w:sz w:val="20"/>
          <w:szCs w:val="20"/>
        </w:rPr>
        <w:fldChar w:fldCharType="separate"/>
      </w:r>
      <w:r w:rsidR="00770791">
        <w:rPr>
          <w:noProof/>
          <w:sz w:val="20"/>
          <w:szCs w:val="20"/>
        </w:rPr>
        <w:t>1</w:t>
      </w:r>
      <w:r w:rsidRPr="00994C7C">
        <w:rPr>
          <w:noProof/>
          <w:sz w:val="20"/>
          <w:szCs w:val="20"/>
        </w:rPr>
        <w:fldChar w:fldCharType="end"/>
      </w:r>
      <w:bookmarkEnd w:id="92"/>
      <w:r w:rsidRPr="00994C7C">
        <w:rPr>
          <w:sz w:val="20"/>
          <w:szCs w:val="20"/>
        </w:rPr>
        <w:t xml:space="preserve"> – Individual outcomes (2015-16)</w:t>
      </w:r>
      <w:bookmarkEnd w:id="93"/>
      <w:bookmarkEnd w:id="94"/>
      <w:r w:rsidR="001D7405">
        <w:rPr>
          <w:sz w:val="20"/>
          <w:szCs w:val="20"/>
        </w:rPr>
        <w:t xml:space="preserve"> </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Social, community and civic participation outcomes achieved in ALNSW and ELNSW."/>
      </w:tblPr>
      <w:tblGrid>
        <w:gridCol w:w="5905"/>
        <w:gridCol w:w="1223"/>
        <w:gridCol w:w="1222"/>
        <w:gridCol w:w="1222"/>
      </w:tblGrid>
      <w:tr w:rsidR="00D14BF8" w:rsidRPr="00D14BF8" w:rsidTr="004B7CD8">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1D7405" w:rsidP="0012750B">
            <w:pPr>
              <w:spacing w:after="60"/>
              <w:rPr>
                <w:color w:val="auto"/>
              </w:rPr>
            </w:pPr>
            <w:bookmarkStart w:id="95" w:name="ColumnTitle_Table3_1a"/>
            <w:bookmarkEnd w:id="95"/>
            <w:r w:rsidRPr="001D7405">
              <w:rPr>
                <w:b/>
                <w:color w:val="auto"/>
              </w:rPr>
              <w:t>Social, community and civic participation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ALNSW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ELNSW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Total</w:t>
            </w:r>
          </w:p>
        </w:tc>
      </w:tr>
      <w:tr w:rsidR="00583ACC"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583ACC" w:rsidRPr="00FD0B3F" w:rsidRDefault="00583ACC" w:rsidP="0012750B">
            <w:pPr>
              <w:spacing w:after="60"/>
            </w:pPr>
            <w:r w:rsidRPr="00FD0B3F">
              <w:t>Connection with friends/peers</w:t>
            </w:r>
          </w:p>
        </w:tc>
        <w:tc>
          <w:tcPr>
            <w:tcW w:w="1223" w:type="dxa"/>
            <w:shd w:val="clear" w:color="auto" w:fill="auto"/>
            <w:vAlign w:val="top"/>
          </w:tcPr>
          <w:p w:rsidR="00583ACC" w:rsidRPr="00744F36" w:rsidRDefault="00583ACC" w:rsidP="0012750B">
            <w:pPr>
              <w:spacing w:after="60"/>
            </w:pPr>
            <w:r w:rsidRPr="00744F36">
              <w:t xml:space="preserve">588 </w:t>
            </w:r>
          </w:p>
        </w:tc>
        <w:tc>
          <w:tcPr>
            <w:tcW w:w="1222" w:type="dxa"/>
            <w:shd w:val="clear" w:color="auto" w:fill="auto"/>
            <w:vAlign w:val="top"/>
          </w:tcPr>
          <w:p w:rsidR="00583ACC" w:rsidRPr="00744F36" w:rsidRDefault="00583ACC" w:rsidP="0012750B">
            <w:pPr>
              <w:spacing w:after="60"/>
            </w:pPr>
            <w:r w:rsidRPr="00744F36">
              <w:t xml:space="preserve">384 </w:t>
            </w:r>
          </w:p>
        </w:tc>
        <w:tc>
          <w:tcPr>
            <w:tcW w:w="1222" w:type="dxa"/>
            <w:shd w:val="clear" w:color="auto" w:fill="auto"/>
            <w:vAlign w:val="top"/>
          </w:tcPr>
          <w:p w:rsidR="00583ACC" w:rsidRPr="00744F36" w:rsidRDefault="00583ACC" w:rsidP="0012750B">
            <w:pPr>
              <w:spacing w:after="60"/>
            </w:pPr>
            <w:r w:rsidRPr="00744F36">
              <w:t xml:space="preserve">972 </w:t>
            </w:r>
          </w:p>
        </w:tc>
      </w:tr>
      <w:tr w:rsidR="00583ACC" w:rsidTr="004B7CD8">
        <w:tc>
          <w:tcPr>
            <w:tcW w:w="5905" w:type="dxa"/>
            <w:vAlign w:val="top"/>
          </w:tcPr>
          <w:p w:rsidR="00583ACC" w:rsidRPr="00FD0B3F" w:rsidRDefault="00583ACC" w:rsidP="0012750B">
            <w:pPr>
              <w:spacing w:after="60"/>
            </w:pPr>
            <w:r w:rsidRPr="00FD0B3F">
              <w:t>Informal family support activities</w:t>
            </w:r>
          </w:p>
        </w:tc>
        <w:tc>
          <w:tcPr>
            <w:tcW w:w="1223" w:type="dxa"/>
            <w:vAlign w:val="top"/>
          </w:tcPr>
          <w:p w:rsidR="00583ACC" w:rsidRPr="00744F36" w:rsidRDefault="00583ACC" w:rsidP="0012750B">
            <w:pPr>
              <w:spacing w:after="60"/>
            </w:pPr>
            <w:r w:rsidRPr="00744F36">
              <w:t xml:space="preserve">446 </w:t>
            </w:r>
          </w:p>
        </w:tc>
        <w:tc>
          <w:tcPr>
            <w:tcW w:w="1222" w:type="dxa"/>
            <w:vAlign w:val="top"/>
          </w:tcPr>
          <w:p w:rsidR="00583ACC" w:rsidRPr="00744F36" w:rsidRDefault="00583ACC" w:rsidP="0012750B">
            <w:pPr>
              <w:spacing w:after="60"/>
            </w:pPr>
            <w:r w:rsidRPr="00744F36">
              <w:t xml:space="preserve">992 </w:t>
            </w:r>
          </w:p>
        </w:tc>
        <w:tc>
          <w:tcPr>
            <w:tcW w:w="1222" w:type="dxa"/>
            <w:vAlign w:val="top"/>
          </w:tcPr>
          <w:p w:rsidR="00583ACC" w:rsidRPr="00744F36" w:rsidRDefault="00583ACC" w:rsidP="0012750B">
            <w:pPr>
              <w:spacing w:after="60"/>
            </w:pPr>
            <w:r w:rsidRPr="00744F36">
              <w:t xml:space="preserve">1,438 </w:t>
            </w:r>
          </w:p>
        </w:tc>
      </w:tr>
      <w:tr w:rsidR="00583ACC"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583ACC" w:rsidRPr="00FD0B3F" w:rsidRDefault="00583ACC" w:rsidP="0012750B">
            <w:pPr>
              <w:spacing w:after="60"/>
            </w:pPr>
            <w:r w:rsidRPr="00FD0B3F">
              <w:t>Connection with a community or interest group</w:t>
            </w:r>
          </w:p>
        </w:tc>
        <w:tc>
          <w:tcPr>
            <w:tcW w:w="1223" w:type="dxa"/>
            <w:shd w:val="clear" w:color="auto" w:fill="auto"/>
            <w:vAlign w:val="top"/>
          </w:tcPr>
          <w:p w:rsidR="00583ACC" w:rsidRPr="00744F36" w:rsidRDefault="00583ACC" w:rsidP="0012750B">
            <w:pPr>
              <w:spacing w:after="60"/>
            </w:pPr>
            <w:r w:rsidRPr="00744F36">
              <w:t xml:space="preserve">1,192 </w:t>
            </w:r>
          </w:p>
        </w:tc>
        <w:tc>
          <w:tcPr>
            <w:tcW w:w="1222" w:type="dxa"/>
            <w:shd w:val="clear" w:color="auto" w:fill="auto"/>
            <w:vAlign w:val="top"/>
          </w:tcPr>
          <w:p w:rsidR="00583ACC" w:rsidRPr="00744F36" w:rsidRDefault="00583ACC" w:rsidP="0012750B">
            <w:pPr>
              <w:spacing w:after="60"/>
            </w:pPr>
            <w:r w:rsidRPr="00744F36">
              <w:t xml:space="preserve">340 </w:t>
            </w:r>
          </w:p>
        </w:tc>
        <w:tc>
          <w:tcPr>
            <w:tcW w:w="1222" w:type="dxa"/>
            <w:shd w:val="clear" w:color="auto" w:fill="auto"/>
            <w:vAlign w:val="top"/>
          </w:tcPr>
          <w:p w:rsidR="00583ACC" w:rsidRPr="00744F36" w:rsidRDefault="00583ACC" w:rsidP="0012750B">
            <w:pPr>
              <w:spacing w:after="60"/>
            </w:pPr>
            <w:r w:rsidRPr="00744F36">
              <w:t xml:space="preserve">1,532 </w:t>
            </w:r>
          </w:p>
        </w:tc>
      </w:tr>
      <w:tr w:rsidR="00583ACC" w:rsidTr="004B7CD8">
        <w:tc>
          <w:tcPr>
            <w:tcW w:w="5905" w:type="dxa"/>
            <w:vAlign w:val="top"/>
          </w:tcPr>
          <w:p w:rsidR="00583ACC" w:rsidRPr="00FD0B3F" w:rsidRDefault="00583ACC" w:rsidP="0012750B">
            <w:pPr>
              <w:spacing w:after="60"/>
            </w:pPr>
            <w:r w:rsidRPr="00FD0B3F">
              <w:t>Recreational activity linked to passions</w:t>
            </w:r>
          </w:p>
        </w:tc>
        <w:tc>
          <w:tcPr>
            <w:tcW w:w="1223" w:type="dxa"/>
            <w:vAlign w:val="top"/>
          </w:tcPr>
          <w:p w:rsidR="00583ACC" w:rsidRPr="00744F36" w:rsidRDefault="00583ACC" w:rsidP="0012750B">
            <w:pPr>
              <w:spacing w:after="60"/>
            </w:pPr>
            <w:r w:rsidRPr="00744F36">
              <w:t xml:space="preserve">810 </w:t>
            </w:r>
          </w:p>
        </w:tc>
        <w:tc>
          <w:tcPr>
            <w:tcW w:w="1222" w:type="dxa"/>
            <w:vAlign w:val="top"/>
          </w:tcPr>
          <w:p w:rsidR="00583ACC" w:rsidRPr="00744F36" w:rsidRDefault="00583ACC" w:rsidP="0012750B">
            <w:pPr>
              <w:spacing w:after="60"/>
            </w:pPr>
            <w:r w:rsidRPr="00744F36">
              <w:t xml:space="preserve">214 </w:t>
            </w:r>
          </w:p>
        </w:tc>
        <w:tc>
          <w:tcPr>
            <w:tcW w:w="1222" w:type="dxa"/>
            <w:vAlign w:val="top"/>
          </w:tcPr>
          <w:p w:rsidR="00583ACC" w:rsidRPr="00744F36" w:rsidRDefault="00583ACC" w:rsidP="0012750B">
            <w:pPr>
              <w:spacing w:after="60"/>
            </w:pPr>
            <w:r w:rsidRPr="00744F36">
              <w:t xml:space="preserve">1,024 </w:t>
            </w:r>
          </w:p>
        </w:tc>
      </w:tr>
      <w:tr w:rsidR="00583ACC"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583ACC" w:rsidRPr="00FD0B3F" w:rsidRDefault="00583ACC" w:rsidP="0012750B">
            <w:pPr>
              <w:spacing w:after="60"/>
            </w:pPr>
            <w:r w:rsidRPr="00FD0B3F">
              <w:t>Community or social events</w:t>
            </w:r>
          </w:p>
        </w:tc>
        <w:tc>
          <w:tcPr>
            <w:tcW w:w="1223" w:type="dxa"/>
            <w:shd w:val="clear" w:color="auto" w:fill="auto"/>
            <w:vAlign w:val="top"/>
          </w:tcPr>
          <w:p w:rsidR="00583ACC" w:rsidRPr="00744F36" w:rsidRDefault="00583ACC" w:rsidP="0012750B">
            <w:pPr>
              <w:spacing w:after="60"/>
            </w:pPr>
            <w:r w:rsidRPr="00744F36">
              <w:t xml:space="preserve">298 </w:t>
            </w:r>
          </w:p>
        </w:tc>
        <w:tc>
          <w:tcPr>
            <w:tcW w:w="1222" w:type="dxa"/>
            <w:shd w:val="clear" w:color="auto" w:fill="auto"/>
            <w:vAlign w:val="top"/>
          </w:tcPr>
          <w:p w:rsidR="00583ACC" w:rsidRPr="00744F36" w:rsidRDefault="00583ACC" w:rsidP="0012750B">
            <w:pPr>
              <w:spacing w:after="60"/>
            </w:pPr>
            <w:r w:rsidRPr="00744F36">
              <w:t xml:space="preserve">214 </w:t>
            </w:r>
          </w:p>
        </w:tc>
        <w:tc>
          <w:tcPr>
            <w:tcW w:w="1222" w:type="dxa"/>
            <w:shd w:val="clear" w:color="auto" w:fill="auto"/>
            <w:vAlign w:val="top"/>
          </w:tcPr>
          <w:p w:rsidR="00583ACC" w:rsidRPr="00744F36" w:rsidRDefault="00583ACC" w:rsidP="0012750B">
            <w:pPr>
              <w:spacing w:after="60"/>
            </w:pPr>
            <w:r w:rsidRPr="00744F36">
              <w:t xml:space="preserve">512 </w:t>
            </w:r>
          </w:p>
        </w:tc>
      </w:tr>
      <w:tr w:rsidR="00583ACC" w:rsidTr="004B7CD8">
        <w:tc>
          <w:tcPr>
            <w:tcW w:w="5905" w:type="dxa"/>
            <w:vAlign w:val="top"/>
          </w:tcPr>
          <w:p w:rsidR="00583ACC" w:rsidRPr="00FD0B3F" w:rsidRDefault="00583ACC" w:rsidP="0012750B">
            <w:pPr>
              <w:spacing w:after="60"/>
            </w:pPr>
            <w:r w:rsidRPr="00FD0B3F">
              <w:t>Connection with services specifically focused on increasing community connections</w:t>
            </w:r>
          </w:p>
        </w:tc>
        <w:tc>
          <w:tcPr>
            <w:tcW w:w="1223" w:type="dxa"/>
            <w:vAlign w:val="top"/>
          </w:tcPr>
          <w:p w:rsidR="00583ACC" w:rsidRPr="00744F36" w:rsidRDefault="00583ACC" w:rsidP="0012750B">
            <w:pPr>
              <w:spacing w:after="60"/>
            </w:pPr>
            <w:r w:rsidRPr="00744F36">
              <w:t xml:space="preserve">794 </w:t>
            </w:r>
          </w:p>
        </w:tc>
        <w:tc>
          <w:tcPr>
            <w:tcW w:w="1222" w:type="dxa"/>
            <w:vAlign w:val="top"/>
          </w:tcPr>
          <w:p w:rsidR="00583ACC" w:rsidRPr="00744F36" w:rsidRDefault="00583ACC" w:rsidP="0012750B">
            <w:pPr>
              <w:spacing w:after="60"/>
            </w:pPr>
            <w:r w:rsidRPr="00744F36">
              <w:t xml:space="preserve">698 </w:t>
            </w:r>
          </w:p>
        </w:tc>
        <w:tc>
          <w:tcPr>
            <w:tcW w:w="1222" w:type="dxa"/>
            <w:vAlign w:val="top"/>
          </w:tcPr>
          <w:p w:rsidR="00583ACC" w:rsidRPr="00744F36" w:rsidRDefault="00583ACC" w:rsidP="0012750B">
            <w:pPr>
              <w:spacing w:after="60"/>
            </w:pPr>
            <w:r w:rsidRPr="00744F36">
              <w:t xml:space="preserve">1,492 </w:t>
            </w:r>
          </w:p>
        </w:tc>
      </w:tr>
      <w:tr w:rsidR="00583ACC"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583ACC" w:rsidRDefault="00583ACC" w:rsidP="0012750B">
            <w:pPr>
              <w:spacing w:after="60"/>
            </w:pPr>
            <w:r w:rsidRPr="00FD0B3F">
              <w:t>Cultural connection</w:t>
            </w:r>
          </w:p>
        </w:tc>
        <w:tc>
          <w:tcPr>
            <w:tcW w:w="1223" w:type="dxa"/>
            <w:shd w:val="clear" w:color="auto" w:fill="auto"/>
            <w:vAlign w:val="top"/>
          </w:tcPr>
          <w:p w:rsidR="00583ACC" w:rsidRPr="00744F36" w:rsidRDefault="00583ACC" w:rsidP="0012750B">
            <w:pPr>
              <w:spacing w:after="60"/>
            </w:pPr>
            <w:r w:rsidRPr="00744F36">
              <w:t xml:space="preserve">248 </w:t>
            </w:r>
          </w:p>
        </w:tc>
        <w:tc>
          <w:tcPr>
            <w:tcW w:w="1222" w:type="dxa"/>
            <w:shd w:val="clear" w:color="auto" w:fill="auto"/>
            <w:vAlign w:val="top"/>
          </w:tcPr>
          <w:p w:rsidR="00583ACC" w:rsidRPr="00744F36" w:rsidRDefault="00583ACC" w:rsidP="0012750B">
            <w:pPr>
              <w:spacing w:after="60"/>
            </w:pPr>
            <w:r w:rsidRPr="00744F36">
              <w:t xml:space="preserve">86 </w:t>
            </w:r>
          </w:p>
        </w:tc>
        <w:tc>
          <w:tcPr>
            <w:tcW w:w="1222" w:type="dxa"/>
            <w:shd w:val="clear" w:color="auto" w:fill="auto"/>
            <w:vAlign w:val="top"/>
          </w:tcPr>
          <w:p w:rsidR="00583ACC" w:rsidRPr="00744F36" w:rsidRDefault="00583ACC" w:rsidP="0012750B">
            <w:pPr>
              <w:spacing w:after="60"/>
            </w:pPr>
            <w:r w:rsidRPr="00744F36">
              <w:t xml:space="preserve">334 </w:t>
            </w:r>
          </w:p>
        </w:tc>
      </w:tr>
      <w:tr w:rsidR="00583ACC" w:rsidTr="004B7CD8">
        <w:tc>
          <w:tcPr>
            <w:tcW w:w="5905" w:type="dxa"/>
            <w:vAlign w:val="top"/>
          </w:tcPr>
          <w:p w:rsidR="00583ACC" w:rsidRPr="001E3FFD" w:rsidRDefault="00583ACC" w:rsidP="0012750B">
            <w:pPr>
              <w:spacing w:after="60"/>
              <w:rPr>
                <w:b/>
              </w:rPr>
            </w:pPr>
            <w:r w:rsidRPr="001E3FFD">
              <w:rPr>
                <w:b/>
              </w:rPr>
              <w:t xml:space="preserve">Social, </w:t>
            </w:r>
            <w:r>
              <w:rPr>
                <w:b/>
              </w:rPr>
              <w:t>c</w:t>
            </w:r>
            <w:r w:rsidRPr="001E3FFD">
              <w:rPr>
                <w:b/>
              </w:rPr>
              <w:t xml:space="preserve">ommunity and </w:t>
            </w:r>
            <w:r>
              <w:rPr>
                <w:b/>
              </w:rPr>
              <w:t>c</w:t>
            </w:r>
            <w:r w:rsidRPr="001E3FFD">
              <w:rPr>
                <w:b/>
              </w:rPr>
              <w:t xml:space="preserve">ivic </w:t>
            </w:r>
            <w:r>
              <w:rPr>
                <w:b/>
              </w:rPr>
              <w:t>p</w:t>
            </w:r>
            <w:r w:rsidRPr="001E3FFD">
              <w:rPr>
                <w:b/>
              </w:rPr>
              <w:t xml:space="preserve">articipation </w:t>
            </w:r>
            <w:r>
              <w:rPr>
                <w:b/>
              </w:rPr>
              <w:t>t</w:t>
            </w:r>
            <w:r w:rsidRPr="001E3FFD">
              <w:rPr>
                <w:b/>
              </w:rPr>
              <w:t>otal</w:t>
            </w:r>
          </w:p>
        </w:tc>
        <w:tc>
          <w:tcPr>
            <w:tcW w:w="1223" w:type="dxa"/>
            <w:vAlign w:val="top"/>
          </w:tcPr>
          <w:p w:rsidR="00583ACC" w:rsidRPr="00114B3E" w:rsidRDefault="00583ACC" w:rsidP="0012750B">
            <w:pPr>
              <w:spacing w:after="60"/>
              <w:rPr>
                <w:b/>
              </w:rPr>
            </w:pPr>
            <w:r w:rsidRPr="00114B3E">
              <w:rPr>
                <w:b/>
              </w:rPr>
              <w:t xml:space="preserve">4,376 </w:t>
            </w:r>
          </w:p>
        </w:tc>
        <w:tc>
          <w:tcPr>
            <w:tcW w:w="1222" w:type="dxa"/>
            <w:vAlign w:val="top"/>
          </w:tcPr>
          <w:p w:rsidR="00583ACC" w:rsidRPr="00114B3E" w:rsidRDefault="00583ACC" w:rsidP="0012750B">
            <w:pPr>
              <w:spacing w:after="60"/>
              <w:rPr>
                <w:b/>
              </w:rPr>
            </w:pPr>
            <w:r w:rsidRPr="00114B3E">
              <w:rPr>
                <w:b/>
              </w:rPr>
              <w:t xml:space="preserve">2,928 </w:t>
            </w:r>
          </w:p>
        </w:tc>
        <w:tc>
          <w:tcPr>
            <w:tcW w:w="1222" w:type="dxa"/>
            <w:vAlign w:val="top"/>
          </w:tcPr>
          <w:p w:rsidR="00583ACC" w:rsidRPr="00114B3E" w:rsidRDefault="00583ACC" w:rsidP="0012750B">
            <w:pPr>
              <w:spacing w:after="60"/>
              <w:rPr>
                <w:b/>
              </w:rPr>
            </w:pPr>
            <w:r w:rsidRPr="00114B3E">
              <w:rPr>
                <w:b/>
              </w:rPr>
              <w:t xml:space="preserve">7,304 </w:t>
            </w:r>
          </w:p>
        </w:tc>
      </w:tr>
    </w:tbl>
    <w:p w:rsidR="001D7405" w:rsidRPr="0069578E" w:rsidRDefault="001D7405"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Service engagement outcomes achieved in ALNSW and ELNSW"/>
      </w:tblPr>
      <w:tblGrid>
        <w:gridCol w:w="5905"/>
        <w:gridCol w:w="1223"/>
        <w:gridCol w:w="1222"/>
        <w:gridCol w:w="1222"/>
      </w:tblGrid>
      <w:tr w:rsidR="001D7405" w:rsidRPr="00D14BF8" w:rsidTr="004B7CD8">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1D7405" w:rsidRDefault="001D7405" w:rsidP="0012750B">
            <w:pPr>
              <w:spacing w:after="60"/>
              <w:rPr>
                <w:b/>
                <w:color w:val="auto"/>
              </w:rPr>
            </w:pPr>
            <w:bookmarkStart w:id="96" w:name="ColumnTitle_Table3_1b"/>
            <w:bookmarkEnd w:id="96"/>
            <w:r w:rsidRPr="001D7405">
              <w:rPr>
                <w:b/>
                <w:color w:val="auto"/>
              </w:rPr>
              <w:t>Service Engagement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ALNSW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ELNSW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Total</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BD21F6" w:rsidRDefault="001D7405" w:rsidP="0012750B">
            <w:pPr>
              <w:spacing w:after="60"/>
            </w:pPr>
            <w:r w:rsidRPr="00BD21F6">
              <w:t>Access mainstream services</w:t>
            </w:r>
          </w:p>
        </w:tc>
        <w:tc>
          <w:tcPr>
            <w:tcW w:w="1223" w:type="dxa"/>
            <w:shd w:val="clear" w:color="auto" w:fill="auto"/>
            <w:vAlign w:val="top"/>
          </w:tcPr>
          <w:p w:rsidR="001D7405" w:rsidRPr="00122CAC" w:rsidRDefault="001D7405" w:rsidP="0012750B">
            <w:pPr>
              <w:spacing w:after="60"/>
            </w:pPr>
            <w:r w:rsidRPr="00122CAC">
              <w:t xml:space="preserve">2,576 </w:t>
            </w:r>
          </w:p>
        </w:tc>
        <w:tc>
          <w:tcPr>
            <w:tcW w:w="1222" w:type="dxa"/>
            <w:shd w:val="clear" w:color="auto" w:fill="auto"/>
            <w:vAlign w:val="top"/>
          </w:tcPr>
          <w:p w:rsidR="001D7405" w:rsidRPr="00122CAC" w:rsidRDefault="001D7405" w:rsidP="0012750B">
            <w:pPr>
              <w:spacing w:after="60"/>
            </w:pPr>
            <w:r w:rsidRPr="00122CAC">
              <w:t xml:space="preserve">1,706 </w:t>
            </w:r>
          </w:p>
        </w:tc>
        <w:tc>
          <w:tcPr>
            <w:tcW w:w="1222" w:type="dxa"/>
            <w:shd w:val="clear" w:color="auto" w:fill="auto"/>
            <w:vAlign w:val="top"/>
          </w:tcPr>
          <w:p w:rsidR="001D7405" w:rsidRPr="00122CAC" w:rsidRDefault="001D7405" w:rsidP="0012750B">
            <w:pPr>
              <w:spacing w:after="60"/>
            </w:pPr>
            <w:r w:rsidRPr="00122CAC">
              <w:t xml:space="preserve">4,282 </w:t>
            </w:r>
          </w:p>
        </w:tc>
      </w:tr>
      <w:tr w:rsidR="001D7405" w:rsidTr="004B7CD8">
        <w:tc>
          <w:tcPr>
            <w:tcW w:w="5905" w:type="dxa"/>
            <w:vAlign w:val="top"/>
          </w:tcPr>
          <w:p w:rsidR="001D7405" w:rsidRPr="00BD21F6" w:rsidRDefault="001D7405" w:rsidP="0012750B">
            <w:pPr>
              <w:spacing w:after="60"/>
            </w:pPr>
            <w:r w:rsidRPr="00BD21F6">
              <w:t>Access specialist disability support</w:t>
            </w:r>
          </w:p>
        </w:tc>
        <w:tc>
          <w:tcPr>
            <w:tcW w:w="1223" w:type="dxa"/>
            <w:vAlign w:val="top"/>
          </w:tcPr>
          <w:p w:rsidR="001D7405" w:rsidRPr="00122CAC" w:rsidRDefault="001D7405" w:rsidP="0012750B">
            <w:pPr>
              <w:spacing w:after="60"/>
            </w:pPr>
            <w:r w:rsidRPr="00122CAC">
              <w:t xml:space="preserve">1,910 </w:t>
            </w:r>
          </w:p>
        </w:tc>
        <w:tc>
          <w:tcPr>
            <w:tcW w:w="1222" w:type="dxa"/>
            <w:vAlign w:val="top"/>
          </w:tcPr>
          <w:p w:rsidR="001D7405" w:rsidRPr="00122CAC" w:rsidRDefault="001D7405" w:rsidP="0012750B">
            <w:pPr>
              <w:spacing w:after="60"/>
            </w:pPr>
            <w:r w:rsidRPr="00122CAC">
              <w:t xml:space="preserve">2,076 </w:t>
            </w:r>
          </w:p>
        </w:tc>
        <w:tc>
          <w:tcPr>
            <w:tcW w:w="1222" w:type="dxa"/>
            <w:vAlign w:val="top"/>
          </w:tcPr>
          <w:p w:rsidR="001D7405" w:rsidRPr="00122CAC" w:rsidRDefault="001D7405" w:rsidP="0012750B">
            <w:pPr>
              <w:spacing w:after="60"/>
            </w:pPr>
            <w:r w:rsidRPr="00122CAC">
              <w:t xml:space="preserve">3,986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1E3FFD" w:rsidRDefault="001D7405" w:rsidP="0012750B">
            <w:pPr>
              <w:spacing w:after="60"/>
              <w:rPr>
                <w:b/>
              </w:rPr>
            </w:pPr>
            <w:r w:rsidRPr="001E3FFD">
              <w:rPr>
                <w:b/>
              </w:rPr>
              <w:t xml:space="preserve">Service </w:t>
            </w:r>
            <w:r>
              <w:rPr>
                <w:b/>
              </w:rPr>
              <w:t>e</w:t>
            </w:r>
            <w:r w:rsidRPr="001E3FFD">
              <w:rPr>
                <w:b/>
              </w:rPr>
              <w:t xml:space="preserve">ngagement </w:t>
            </w:r>
            <w:r>
              <w:rPr>
                <w:b/>
              </w:rPr>
              <w:t>t</w:t>
            </w:r>
            <w:r w:rsidRPr="001E3FFD">
              <w:rPr>
                <w:b/>
              </w:rPr>
              <w:t>otal</w:t>
            </w:r>
          </w:p>
        </w:tc>
        <w:tc>
          <w:tcPr>
            <w:tcW w:w="1223" w:type="dxa"/>
            <w:shd w:val="clear" w:color="auto" w:fill="auto"/>
            <w:vAlign w:val="top"/>
          </w:tcPr>
          <w:p w:rsidR="001D7405" w:rsidRPr="00114B3E" w:rsidRDefault="001D7405" w:rsidP="0012750B">
            <w:pPr>
              <w:spacing w:after="60"/>
              <w:rPr>
                <w:b/>
              </w:rPr>
            </w:pPr>
            <w:r w:rsidRPr="00114B3E">
              <w:rPr>
                <w:b/>
              </w:rPr>
              <w:t xml:space="preserve">4,486 </w:t>
            </w:r>
          </w:p>
        </w:tc>
        <w:tc>
          <w:tcPr>
            <w:tcW w:w="1222" w:type="dxa"/>
            <w:shd w:val="clear" w:color="auto" w:fill="auto"/>
            <w:vAlign w:val="top"/>
          </w:tcPr>
          <w:p w:rsidR="001D7405" w:rsidRPr="00114B3E" w:rsidRDefault="001D7405" w:rsidP="0012750B">
            <w:pPr>
              <w:spacing w:after="60"/>
              <w:rPr>
                <w:b/>
              </w:rPr>
            </w:pPr>
            <w:r w:rsidRPr="00114B3E">
              <w:rPr>
                <w:b/>
              </w:rPr>
              <w:t xml:space="preserve">3,782 </w:t>
            </w:r>
          </w:p>
        </w:tc>
        <w:tc>
          <w:tcPr>
            <w:tcW w:w="1222" w:type="dxa"/>
            <w:shd w:val="clear" w:color="auto" w:fill="auto"/>
            <w:vAlign w:val="top"/>
          </w:tcPr>
          <w:p w:rsidR="001D7405" w:rsidRPr="00114B3E" w:rsidRDefault="001D7405" w:rsidP="0012750B">
            <w:pPr>
              <w:spacing w:after="60"/>
              <w:rPr>
                <w:b/>
              </w:rPr>
            </w:pPr>
            <w:r w:rsidRPr="00114B3E">
              <w:rPr>
                <w:b/>
              </w:rPr>
              <w:t xml:space="preserve">8,268 </w:t>
            </w:r>
          </w:p>
        </w:tc>
      </w:tr>
    </w:tbl>
    <w:p w:rsidR="001D7405" w:rsidRPr="0069578E" w:rsidRDefault="001D7405"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Employment outcomes achieved in ALNSW and ELNSW"/>
      </w:tblPr>
      <w:tblGrid>
        <w:gridCol w:w="5905"/>
        <w:gridCol w:w="1223"/>
        <w:gridCol w:w="1222"/>
        <w:gridCol w:w="1222"/>
      </w:tblGrid>
      <w:tr w:rsidR="001D7405" w:rsidRPr="00D14BF8" w:rsidTr="004B7CD8">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1D7405" w:rsidRDefault="001D7405" w:rsidP="0012750B">
            <w:pPr>
              <w:spacing w:after="60"/>
              <w:rPr>
                <w:b/>
                <w:color w:val="auto"/>
              </w:rPr>
            </w:pPr>
            <w:bookmarkStart w:id="97" w:name="ColumnTitle_Table3_1c"/>
            <w:bookmarkEnd w:id="97"/>
            <w:r w:rsidRPr="001D7405">
              <w:rPr>
                <w:b/>
                <w:color w:val="auto"/>
              </w:rPr>
              <w:t>Employment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ALNSW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ELNSW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Total</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5A79DA" w:rsidRDefault="001D7405" w:rsidP="0012750B">
            <w:pPr>
              <w:spacing w:after="60"/>
            </w:pPr>
            <w:r w:rsidRPr="005A79DA">
              <w:t>Small business/entrepreneurial advice/grants information</w:t>
            </w:r>
          </w:p>
        </w:tc>
        <w:tc>
          <w:tcPr>
            <w:tcW w:w="1223" w:type="dxa"/>
            <w:shd w:val="clear" w:color="auto" w:fill="auto"/>
            <w:vAlign w:val="top"/>
          </w:tcPr>
          <w:p w:rsidR="001D7405" w:rsidRPr="00373F0A" w:rsidRDefault="001D7405" w:rsidP="0012750B">
            <w:pPr>
              <w:spacing w:after="60"/>
            </w:pPr>
            <w:r w:rsidRPr="00373F0A">
              <w:t xml:space="preserve">58 </w:t>
            </w:r>
          </w:p>
        </w:tc>
        <w:tc>
          <w:tcPr>
            <w:tcW w:w="1222" w:type="dxa"/>
            <w:shd w:val="clear" w:color="auto" w:fill="auto"/>
            <w:vAlign w:val="top"/>
          </w:tcPr>
          <w:p w:rsidR="001D7405" w:rsidRPr="00373F0A" w:rsidRDefault="001D7405" w:rsidP="0012750B">
            <w:pPr>
              <w:spacing w:after="60"/>
            </w:pPr>
            <w:r w:rsidRPr="00373F0A">
              <w:t xml:space="preserve">2 </w:t>
            </w:r>
          </w:p>
        </w:tc>
        <w:tc>
          <w:tcPr>
            <w:tcW w:w="1222" w:type="dxa"/>
            <w:shd w:val="clear" w:color="auto" w:fill="auto"/>
            <w:vAlign w:val="top"/>
          </w:tcPr>
          <w:p w:rsidR="001D7405" w:rsidRPr="00373F0A" w:rsidRDefault="001D7405" w:rsidP="0012750B">
            <w:pPr>
              <w:spacing w:after="60"/>
            </w:pPr>
            <w:r w:rsidRPr="00373F0A">
              <w:t xml:space="preserve">60 </w:t>
            </w:r>
          </w:p>
        </w:tc>
      </w:tr>
      <w:tr w:rsidR="001D7405" w:rsidTr="004B7CD8">
        <w:tc>
          <w:tcPr>
            <w:tcW w:w="5905" w:type="dxa"/>
            <w:vAlign w:val="top"/>
          </w:tcPr>
          <w:p w:rsidR="001D7405" w:rsidRPr="005A79DA" w:rsidRDefault="001D7405" w:rsidP="0012750B">
            <w:pPr>
              <w:spacing w:after="60"/>
            </w:pPr>
            <w:r w:rsidRPr="005A79DA">
              <w:t>Skills development support</w:t>
            </w:r>
          </w:p>
        </w:tc>
        <w:tc>
          <w:tcPr>
            <w:tcW w:w="1223" w:type="dxa"/>
            <w:vAlign w:val="top"/>
          </w:tcPr>
          <w:p w:rsidR="001D7405" w:rsidRPr="00373F0A" w:rsidRDefault="001D7405" w:rsidP="0012750B">
            <w:pPr>
              <w:spacing w:after="60"/>
            </w:pPr>
            <w:r w:rsidRPr="00373F0A">
              <w:t xml:space="preserve">278 </w:t>
            </w:r>
          </w:p>
        </w:tc>
        <w:tc>
          <w:tcPr>
            <w:tcW w:w="1222" w:type="dxa"/>
            <w:vAlign w:val="top"/>
          </w:tcPr>
          <w:p w:rsidR="001D7405" w:rsidRPr="00373F0A" w:rsidRDefault="001D7405" w:rsidP="0012750B">
            <w:pPr>
              <w:spacing w:after="60"/>
            </w:pPr>
            <w:r w:rsidRPr="00373F0A">
              <w:t xml:space="preserve">64 </w:t>
            </w:r>
          </w:p>
        </w:tc>
        <w:tc>
          <w:tcPr>
            <w:tcW w:w="1222" w:type="dxa"/>
            <w:vAlign w:val="top"/>
          </w:tcPr>
          <w:p w:rsidR="001D7405" w:rsidRPr="00373F0A" w:rsidRDefault="001D7405" w:rsidP="0012750B">
            <w:pPr>
              <w:spacing w:after="60"/>
            </w:pPr>
            <w:r w:rsidRPr="00373F0A">
              <w:t xml:space="preserve">342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5A79DA" w:rsidRDefault="001D7405" w:rsidP="0012750B">
            <w:pPr>
              <w:spacing w:after="60"/>
            </w:pPr>
            <w:r w:rsidRPr="005A79DA">
              <w:t>Assistance negotiating/liaising with employers to secure employment</w:t>
            </w:r>
          </w:p>
        </w:tc>
        <w:tc>
          <w:tcPr>
            <w:tcW w:w="1223" w:type="dxa"/>
            <w:shd w:val="clear" w:color="auto" w:fill="auto"/>
            <w:vAlign w:val="top"/>
          </w:tcPr>
          <w:p w:rsidR="001D7405" w:rsidRPr="00373F0A" w:rsidRDefault="001D7405" w:rsidP="0012750B">
            <w:pPr>
              <w:spacing w:after="60"/>
            </w:pPr>
            <w:r w:rsidRPr="00373F0A">
              <w:t xml:space="preserve">190 </w:t>
            </w:r>
          </w:p>
        </w:tc>
        <w:tc>
          <w:tcPr>
            <w:tcW w:w="1222" w:type="dxa"/>
            <w:shd w:val="clear" w:color="auto" w:fill="auto"/>
            <w:vAlign w:val="top"/>
          </w:tcPr>
          <w:p w:rsidR="001D7405" w:rsidRPr="00373F0A" w:rsidRDefault="001D7405" w:rsidP="0012750B">
            <w:pPr>
              <w:spacing w:after="60"/>
            </w:pPr>
            <w:r w:rsidRPr="00373F0A">
              <w:t xml:space="preserve">20 </w:t>
            </w:r>
          </w:p>
        </w:tc>
        <w:tc>
          <w:tcPr>
            <w:tcW w:w="1222" w:type="dxa"/>
            <w:shd w:val="clear" w:color="auto" w:fill="auto"/>
            <w:vAlign w:val="top"/>
          </w:tcPr>
          <w:p w:rsidR="001D7405" w:rsidRPr="00373F0A" w:rsidRDefault="001D7405" w:rsidP="0012750B">
            <w:pPr>
              <w:spacing w:after="60"/>
            </w:pPr>
            <w:r w:rsidRPr="00373F0A">
              <w:t xml:space="preserve">210 </w:t>
            </w:r>
          </w:p>
        </w:tc>
      </w:tr>
      <w:tr w:rsidR="001D7405" w:rsidTr="004B7CD8">
        <w:tc>
          <w:tcPr>
            <w:tcW w:w="5905" w:type="dxa"/>
            <w:vAlign w:val="top"/>
          </w:tcPr>
          <w:p w:rsidR="001D7405" w:rsidRPr="005A79DA" w:rsidRDefault="001D7405" w:rsidP="0012750B">
            <w:pPr>
              <w:spacing w:after="60"/>
            </w:pPr>
            <w:r w:rsidRPr="005A79DA">
              <w:t>Connecting with disability employment services</w:t>
            </w:r>
          </w:p>
        </w:tc>
        <w:tc>
          <w:tcPr>
            <w:tcW w:w="1223" w:type="dxa"/>
            <w:vAlign w:val="top"/>
          </w:tcPr>
          <w:p w:rsidR="001D7405" w:rsidRPr="00373F0A" w:rsidRDefault="001D7405" w:rsidP="0012750B">
            <w:pPr>
              <w:spacing w:after="60"/>
            </w:pPr>
            <w:r w:rsidRPr="00373F0A">
              <w:t xml:space="preserve">236 </w:t>
            </w:r>
          </w:p>
        </w:tc>
        <w:tc>
          <w:tcPr>
            <w:tcW w:w="1222" w:type="dxa"/>
            <w:vAlign w:val="top"/>
          </w:tcPr>
          <w:p w:rsidR="001D7405" w:rsidRPr="00373F0A" w:rsidRDefault="001D7405" w:rsidP="0012750B">
            <w:pPr>
              <w:spacing w:after="60"/>
            </w:pPr>
            <w:r w:rsidRPr="00373F0A">
              <w:t xml:space="preserve">48 </w:t>
            </w:r>
          </w:p>
        </w:tc>
        <w:tc>
          <w:tcPr>
            <w:tcW w:w="1222" w:type="dxa"/>
            <w:vAlign w:val="top"/>
          </w:tcPr>
          <w:p w:rsidR="001D7405" w:rsidRPr="00373F0A" w:rsidRDefault="001D7405" w:rsidP="0012750B">
            <w:pPr>
              <w:spacing w:after="60"/>
            </w:pPr>
            <w:r w:rsidRPr="00373F0A">
              <w:t xml:space="preserve">284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5A79DA" w:rsidRDefault="001D7405" w:rsidP="0012750B">
            <w:pPr>
              <w:spacing w:after="60"/>
            </w:pPr>
            <w:r w:rsidRPr="005A79DA">
              <w:t>Work Experience</w:t>
            </w:r>
          </w:p>
        </w:tc>
        <w:tc>
          <w:tcPr>
            <w:tcW w:w="1223" w:type="dxa"/>
            <w:shd w:val="clear" w:color="auto" w:fill="auto"/>
            <w:vAlign w:val="top"/>
          </w:tcPr>
          <w:p w:rsidR="001D7405" w:rsidRPr="00373F0A" w:rsidRDefault="001D7405" w:rsidP="0012750B">
            <w:pPr>
              <w:spacing w:after="60"/>
            </w:pPr>
            <w:r w:rsidRPr="00373F0A">
              <w:t xml:space="preserve">98 </w:t>
            </w:r>
          </w:p>
        </w:tc>
        <w:tc>
          <w:tcPr>
            <w:tcW w:w="1222" w:type="dxa"/>
            <w:shd w:val="clear" w:color="auto" w:fill="auto"/>
            <w:vAlign w:val="top"/>
          </w:tcPr>
          <w:p w:rsidR="001D7405" w:rsidRPr="00373F0A" w:rsidRDefault="001D7405" w:rsidP="0012750B">
            <w:pPr>
              <w:spacing w:after="60"/>
            </w:pPr>
            <w:r w:rsidRPr="00373F0A">
              <w:t xml:space="preserve">8 </w:t>
            </w:r>
          </w:p>
        </w:tc>
        <w:tc>
          <w:tcPr>
            <w:tcW w:w="1222" w:type="dxa"/>
            <w:shd w:val="clear" w:color="auto" w:fill="auto"/>
            <w:vAlign w:val="top"/>
          </w:tcPr>
          <w:p w:rsidR="001D7405" w:rsidRPr="00373F0A" w:rsidRDefault="001D7405" w:rsidP="0012750B">
            <w:pPr>
              <w:spacing w:after="60"/>
            </w:pPr>
            <w:r w:rsidRPr="00373F0A">
              <w:t xml:space="preserve">106 </w:t>
            </w:r>
          </w:p>
        </w:tc>
      </w:tr>
      <w:tr w:rsidR="001D7405" w:rsidTr="004B7CD8">
        <w:tc>
          <w:tcPr>
            <w:tcW w:w="5905" w:type="dxa"/>
            <w:vAlign w:val="top"/>
          </w:tcPr>
          <w:p w:rsidR="001D7405" w:rsidRPr="005A79DA" w:rsidRDefault="001D7405" w:rsidP="0012750B">
            <w:pPr>
              <w:spacing w:after="60"/>
            </w:pPr>
            <w:r w:rsidRPr="005A79DA">
              <w:t>Volunteering</w:t>
            </w:r>
          </w:p>
        </w:tc>
        <w:tc>
          <w:tcPr>
            <w:tcW w:w="1223" w:type="dxa"/>
            <w:vAlign w:val="top"/>
          </w:tcPr>
          <w:p w:rsidR="001D7405" w:rsidRPr="00373F0A" w:rsidRDefault="001D7405" w:rsidP="0012750B">
            <w:pPr>
              <w:spacing w:after="60"/>
            </w:pPr>
            <w:r w:rsidRPr="00373F0A">
              <w:t xml:space="preserve">268 </w:t>
            </w:r>
          </w:p>
        </w:tc>
        <w:tc>
          <w:tcPr>
            <w:tcW w:w="1222" w:type="dxa"/>
            <w:vAlign w:val="top"/>
          </w:tcPr>
          <w:p w:rsidR="001D7405" w:rsidRPr="00373F0A" w:rsidRDefault="00D803EE" w:rsidP="0012750B">
            <w:pPr>
              <w:spacing w:after="60"/>
            </w:pPr>
            <w:r>
              <w:t>1</w:t>
            </w:r>
            <w:r w:rsidR="001D7405" w:rsidRPr="00373F0A">
              <w:t xml:space="preserve">6 </w:t>
            </w:r>
          </w:p>
        </w:tc>
        <w:tc>
          <w:tcPr>
            <w:tcW w:w="1222" w:type="dxa"/>
            <w:vAlign w:val="top"/>
          </w:tcPr>
          <w:p w:rsidR="001D7405" w:rsidRPr="00373F0A" w:rsidRDefault="001D7405" w:rsidP="0012750B">
            <w:pPr>
              <w:spacing w:after="60"/>
            </w:pPr>
            <w:r w:rsidRPr="00373F0A">
              <w:t xml:space="preserve">284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1E3FFD" w:rsidRDefault="001D7405" w:rsidP="0012750B">
            <w:pPr>
              <w:spacing w:after="60"/>
              <w:rPr>
                <w:b/>
              </w:rPr>
            </w:pPr>
            <w:r w:rsidRPr="001E3FFD">
              <w:rPr>
                <w:b/>
              </w:rPr>
              <w:t xml:space="preserve">Employment </w:t>
            </w:r>
            <w:r>
              <w:rPr>
                <w:b/>
              </w:rPr>
              <w:t>t</w:t>
            </w:r>
            <w:r w:rsidRPr="001E3FFD">
              <w:rPr>
                <w:b/>
              </w:rPr>
              <w:t xml:space="preserve">otal </w:t>
            </w:r>
          </w:p>
        </w:tc>
        <w:tc>
          <w:tcPr>
            <w:tcW w:w="1223" w:type="dxa"/>
            <w:shd w:val="clear" w:color="auto" w:fill="auto"/>
            <w:vAlign w:val="top"/>
          </w:tcPr>
          <w:p w:rsidR="001D7405" w:rsidRPr="00114B3E" w:rsidRDefault="001D7405" w:rsidP="0012750B">
            <w:pPr>
              <w:spacing w:after="60"/>
              <w:rPr>
                <w:b/>
              </w:rPr>
            </w:pPr>
            <w:r w:rsidRPr="00114B3E">
              <w:rPr>
                <w:b/>
              </w:rPr>
              <w:t xml:space="preserve">1,128 </w:t>
            </w:r>
          </w:p>
        </w:tc>
        <w:tc>
          <w:tcPr>
            <w:tcW w:w="1222" w:type="dxa"/>
            <w:shd w:val="clear" w:color="auto" w:fill="auto"/>
            <w:vAlign w:val="top"/>
          </w:tcPr>
          <w:p w:rsidR="001D7405" w:rsidRPr="00114B3E" w:rsidRDefault="001D7405" w:rsidP="0012750B">
            <w:pPr>
              <w:spacing w:after="60"/>
              <w:rPr>
                <w:b/>
              </w:rPr>
            </w:pPr>
            <w:r w:rsidRPr="00114B3E">
              <w:rPr>
                <w:b/>
              </w:rPr>
              <w:t xml:space="preserve">158 </w:t>
            </w:r>
          </w:p>
        </w:tc>
        <w:tc>
          <w:tcPr>
            <w:tcW w:w="1222" w:type="dxa"/>
            <w:shd w:val="clear" w:color="auto" w:fill="auto"/>
            <w:vAlign w:val="top"/>
          </w:tcPr>
          <w:p w:rsidR="001D7405" w:rsidRPr="00114B3E" w:rsidRDefault="001D7405" w:rsidP="0012750B">
            <w:pPr>
              <w:spacing w:after="60"/>
              <w:rPr>
                <w:b/>
              </w:rPr>
            </w:pPr>
            <w:r w:rsidRPr="00114B3E">
              <w:rPr>
                <w:b/>
              </w:rPr>
              <w:t xml:space="preserve">1,286 </w:t>
            </w:r>
          </w:p>
        </w:tc>
      </w:tr>
    </w:tbl>
    <w:p w:rsidR="001D7405" w:rsidRPr="0069578E" w:rsidRDefault="001D7405"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Education and training outcomes achieved in ALNSW and ELNSW"/>
      </w:tblPr>
      <w:tblGrid>
        <w:gridCol w:w="5905"/>
        <w:gridCol w:w="1223"/>
        <w:gridCol w:w="1222"/>
        <w:gridCol w:w="1222"/>
      </w:tblGrid>
      <w:tr w:rsidR="001D7405" w:rsidRPr="00D14BF8" w:rsidTr="004B7CD8">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color w:val="auto"/>
              </w:rPr>
            </w:pPr>
            <w:bookmarkStart w:id="98" w:name="ColumnTitle_Table3_1d"/>
            <w:bookmarkEnd w:id="98"/>
            <w:r w:rsidRPr="001D7405">
              <w:rPr>
                <w:b/>
                <w:color w:val="auto"/>
              </w:rPr>
              <w:t>Education and training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ALNSW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ELNSW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Total</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E603EA" w:rsidRDefault="001D7405" w:rsidP="0012750B">
            <w:pPr>
              <w:spacing w:after="60"/>
            </w:pPr>
            <w:r>
              <w:t>Assistance identifying/</w:t>
            </w:r>
            <w:r w:rsidRPr="00E603EA">
              <w:t>connecting to TAFE or University courses</w:t>
            </w:r>
          </w:p>
        </w:tc>
        <w:tc>
          <w:tcPr>
            <w:tcW w:w="1223" w:type="dxa"/>
            <w:shd w:val="clear" w:color="auto" w:fill="auto"/>
            <w:vAlign w:val="top"/>
          </w:tcPr>
          <w:p w:rsidR="001D7405" w:rsidRPr="0025398D" w:rsidRDefault="001D7405" w:rsidP="0012750B">
            <w:pPr>
              <w:spacing w:after="60"/>
            </w:pPr>
            <w:r w:rsidRPr="0025398D">
              <w:t xml:space="preserve">444 </w:t>
            </w:r>
          </w:p>
        </w:tc>
        <w:tc>
          <w:tcPr>
            <w:tcW w:w="1222" w:type="dxa"/>
            <w:shd w:val="clear" w:color="auto" w:fill="auto"/>
            <w:vAlign w:val="top"/>
          </w:tcPr>
          <w:p w:rsidR="001D7405" w:rsidRPr="0025398D" w:rsidRDefault="001D7405" w:rsidP="0012750B">
            <w:pPr>
              <w:spacing w:after="60"/>
            </w:pPr>
            <w:r w:rsidRPr="0025398D">
              <w:t xml:space="preserve">20 </w:t>
            </w:r>
          </w:p>
        </w:tc>
        <w:tc>
          <w:tcPr>
            <w:tcW w:w="1222" w:type="dxa"/>
            <w:shd w:val="clear" w:color="auto" w:fill="auto"/>
            <w:vAlign w:val="top"/>
          </w:tcPr>
          <w:p w:rsidR="001D7405" w:rsidRPr="0025398D" w:rsidRDefault="001D7405" w:rsidP="0012750B">
            <w:pPr>
              <w:spacing w:after="60"/>
            </w:pPr>
            <w:r w:rsidRPr="0025398D">
              <w:t xml:space="preserve">464 </w:t>
            </w:r>
          </w:p>
        </w:tc>
      </w:tr>
      <w:tr w:rsidR="001D7405" w:rsidTr="004B7CD8">
        <w:tc>
          <w:tcPr>
            <w:tcW w:w="5905" w:type="dxa"/>
            <w:vAlign w:val="top"/>
          </w:tcPr>
          <w:p w:rsidR="001D7405" w:rsidRPr="00E603EA" w:rsidRDefault="001D7405" w:rsidP="0012750B">
            <w:pPr>
              <w:spacing w:after="60"/>
            </w:pPr>
            <w:r w:rsidRPr="00E603EA">
              <w:t>Training activities related to employment</w:t>
            </w:r>
          </w:p>
        </w:tc>
        <w:tc>
          <w:tcPr>
            <w:tcW w:w="1223" w:type="dxa"/>
            <w:vAlign w:val="top"/>
          </w:tcPr>
          <w:p w:rsidR="001D7405" w:rsidRPr="0025398D" w:rsidRDefault="001D7405" w:rsidP="0012750B">
            <w:pPr>
              <w:spacing w:after="60"/>
            </w:pPr>
            <w:r w:rsidRPr="0025398D">
              <w:t xml:space="preserve">264 </w:t>
            </w:r>
          </w:p>
        </w:tc>
        <w:tc>
          <w:tcPr>
            <w:tcW w:w="1222" w:type="dxa"/>
            <w:vAlign w:val="top"/>
          </w:tcPr>
          <w:p w:rsidR="001D7405" w:rsidRPr="0025398D" w:rsidRDefault="001D7405" w:rsidP="0012750B">
            <w:pPr>
              <w:spacing w:after="60"/>
            </w:pPr>
            <w:r w:rsidRPr="0025398D">
              <w:t xml:space="preserve">56 </w:t>
            </w:r>
          </w:p>
        </w:tc>
        <w:tc>
          <w:tcPr>
            <w:tcW w:w="1222" w:type="dxa"/>
            <w:vAlign w:val="top"/>
          </w:tcPr>
          <w:p w:rsidR="001D7405" w:rsidRPr="0025398D" w:rsidRDefault="001D7405" w:rsidP="0012750B">
            <w:pPr>
              <w:spacing w:after="60"/>
            </w:pPr>
            <w:r w:rsidRPr="0025398D">
              <w:t xml:space="preserve">320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E603EA" w:rsidRDefault="001D7405" w:rsidP="0012750B">
            <w:pPr>
              <w:spacing w:after="60"/>
            </w:pPr>
            <w:r w:rsidRPr="00E603EA">
              <w:t>Support accessing or liaising with schools</w:t>
            </w:r>
          </w:p>
        </w:tc>
        <w:tc>
          <w:tcPr>
            <w:tcW w:w="1223" w:type="dxa"/>
            <w:shd w:val="clear" w:color="auto" w:fill="auto"/>
            <w:vAlign w:val="top"/>
          </w:tcPr>
          <w:p w:rsidR="001D7405" w:rsidRPr="0025398D" w:rsidRDefault="001D7405" w:rsidP="0012750B">
            <w:pPr>
              <w:spacing w:after="60"/>
            </w:pPr>
            <w:r w:rsidRPr="0025398D">
              <w:t xml:space="preserve">442 </w:t>
            </w:r>
          </w:p>
        </w:tc>
        <w:tc>
          <w:tcPr>
            <w:tcW w:w="1222" w:type="dxa"/>
            <w:shd w:val="clear" w:color="auto" w:fill="auto"/>
            <w:vAlign w:val="top"/>
          </w:tcPr>
          <w:p w:rsidR="001D7405" w:rsidRPr="0025398D" w:rsidRDefault="001D7405" w:rsidP="0012750B">
            <w:pPr>
              <w:spacing w:after="60"/>
            </w:pPr>
            <w:r w:rsidRPr="0025398D">
              <w:t xml:space="preserve">780 </w:t>
            </w:r>
          </w:p>
        </w:tc>
        <w:tc>
          <w:tcPr>
            <w:tcW w:w="1222" w:type="dxa"/>
            <w:shd w:val="clear" w:color="auto" w:fill="auto"/>
            <w:vAlign w:val="top"/>
          </w:tcPr>
          <w:p w:rsidR="001D7405" w:rsidRPr="0025398D" w:rsidRDefault="001D7405" w:rsidP="0012750B">
            <w:pPr>
              <w:spacing w:after="60"/>
            </w:pPr>
            <w:r w:rsidRPr="0025398D">
              <w:t xml:space="preserve">1,222 </w:t>
            </w:r>
          </w:p>
        </w:tc>
      </w:tr>
      <w:tr w:rsidR="001D7405" w:rsidTr="004B7CD8">
        <w:tc>
          <w:tcPr>
            <w:tcW w:w="5905" w:type="dxa"/>
            <w:vAlign w:val="top"/>
          </w:tcPr>
          <w:p w:rsidR="001D7405" w:rsidRPr="001E3FFD" w:rsidRDefault="001D7405" w:rsidP="0012750B">
            <w:pPr>
              <w:spacing w:after="60"/>
              <w:rPr>
                <w:b/>
              </w:rPr>
            </w:pPr>
            <w:r w:rsidRPr="001E3FFD">
              <w:rPr>
                <w:b/>
              </w:rPr>
              <w:t xml:space="preserve">Education and </w:t>
            </w:r>
            <w:r>
              <w:rPr>
                <w:b/>
              </w:rPr>
              <w:t>t</w:t>
            </w:r>
            <w:r w:rsidRPr="001E3FFD">
              <w:rPr>
                <w:b/>
              </w:rPr>
              <w:t xml:space="preserve">raining </w:t>
            </w:r>
            <w:r>
              <w:rPr>
                <w:b/>
              </w:rPr>
              <w:t>t</w:t>
            </w:r>
            <w:r w:rsidRPr="001E3FFD">
              <w:rPr>
                <w:b/>
              </w:rPr>
              <w:t>otal</w:t>
            </w:r>
          </w:p>
        </w:tc>
        <w:tc>
          <w:tcPr>
            <w:tcW w:w="1223" w:type="dxa"/>
            <w:vAlign w:val="top"/>
          </w:tcPr>
          <w:p w:rsidR="001D7405" w:rsidRPr="00114B3E" w:rsidRDefault="001D7405" w:rsidP="0012750B">
            <w:pPr>
              <w:spacing w:after="60"/>
              <w:rPr>
                <w:b/>
              </w:rPr>
            </w:pPr>
            <w:r w:rsidRPr="00114B3E">
              <w:rPr>
                <w:b/>
              </w:rPr>
              <w:t xml:space="preserve">1,150 </w:t>
            </w:r>
          </w:p>
        </w:tc>
        <w:tc>
          <w:tcPr>
            <w:tcW w:w="1222" w:type="dxa"/>
            <w:vAlign w:val="top"/>
          </w:tcPr>
          <w:p w:rsidR="001D7405" w:rsidRPr="00114B3E" w:rsidRDefault="001D7405" w:rsidP="0012750B">
            <w:pPr>
              <w:spacing w:after="60"/>
              <w:rPr>
                <w:b/>
              </w:rPr>
            </w:pPr>
            <w:r w:rsidRPr="00114B3E">
              <w:rPr>
                <w:b/>
              </w:rPr>
              <w:t xml:space="preserve">856 </w:t>
            </w:r>
          </w:p>
        </w:tc>
        <w:tc>
          <w:tcPr>
            <w:tcW w:w="1222" w:type="dxa"/>
            <w:vAlign w:val="top"/>
          </w:tcPr>
          <w:p w:rsidR="001D7405" w:rsidRPr="00114B3E" w:rsidRDefault="001D7405" w:rsidP="0012750B">
            <w:pPr>
              <w:spacing w:after="60"/>
              <w:rPr>
                <w:b/>
              </w:rPr>
            </w:pPr>
            <w:r w:rsidRPr="00114B3E">
              <w:rPr>
                <w:b/>
              </w:rPr>
              <w:t xml:space="preserve">2,006 </w:t>
            </w:r>
          </w:p>
        </w:tc>
      </w:tr>
    </w:tbl>
    <w:p w:rsidR="006725B8" w:rsidRPr="0069578E" w:rsidRDefault="006725B8" w:rsidP="0069578E">
      <w:pPr>
        <w:pStyle w:val="Caption"/>
        <w:spacing w:after="0"/>
        <w:rPr>
          <w:sz w:val="12"/>
          <w:szCs w:val="12"/>
        </w:rPr>
      </w:pPr>
      <w:bookmarkStart w:id="99" w:name="_Ref466467172"/>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The total of the different categories of outcomes achieved in ALNSW and ELNSW"/>
      </w:tblPr>
      <w:tblGrid>
        <w:gridCol w:w="5905"/>
        <w:gridCol w:w="1223"/>
        <w:gridCol w:w="1222"/>
        <w:gridCol w:w="1222"/>
      </w:tblGrid>
      <w:tr w:rsidR="001D7405" w:rsidRPr="00D14BF8" w:rsidTr="004B7CD8">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4B7CD8" w:rsidRDefault="004B7CD8" w:rsidP="0012750B">
            <w:pPr>
              <w:spacing w:after="60"/>
              <w:rPr>
                <w:b/>
                <w:color w:val="auto"/>
              </w:rPr>
            </w:pPr>
            <w:bookmarkStart w:id="100" w:name="ColumnTitle_Table3_1"/>
            <w:bookmarkStart w:id="101" w:name="ColumnTitle_Table3_1e"/>
            <w:bookmarkEnd w:id="99"/>
            <w:bookmarkEnd w:id="100"/>
            <w:bookmarkEnd w:id="101"/>
            <w:r w:rsidRPr="004B7CD8">
              <w:rPr>
                <w:b/>
                <w:color w:val="auto"/>
              </w:rPr>
              <w:t>Total Individual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ALNSW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ELNSW</w:t>
            </w:r>
          </w:p>
        </w:tc>
        <w:tc>
          <w:tcPr>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1D7405" w:rsidRPr="00D14BF8" w:rsidRDefault="001D7405" w:rsidP="0012750B">
            <w:pPr>
              <w:spacing w:after="60"/>
              <w:rPr>
                <w:b/>
                <w:color w:val="auto"/>
              </w:rPr>
            </w:pPr>
            <w:r w:rsidRPr="00D14BF8">
              <w:rPr>
                <w:b/>
                <w:color w:val="auto"/>
              </w:rPr>
              <w:t>Total</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4B7CD8" w:rsidRDefault="001D7405" w:rsidP="0012750B">
            <w:pPr>
              <w:spacing w:after="60"/>
            </w:pPr>
            <w:r w:rsidRPr="004B7CD8">
              <w:t>Social, community and civic participation total</w:t>
            </w:r>
          </w:p>
        </w:tc>
        <w:tc>
          <w:tcPr>
            <w:tcW w:w="1223" w:type="dxa"/>
            <w:shd w:val="clear" w:color="auto" w:fill="auto"/>
            <w:vAlign w:val="top"/>
          </w:tcPr>
          <w:p w:rsidR="001D7405" w:rsidRPr="004B7CD8" w:rsidRDefault="001D7405" w:rsidP="0012750B">
            <w:pPr>
              <w:spacing w:after="60"/>
            </w:pPr>
            <w:r w:rsidRPr="004B7CD8">
              <w:t xml:space="preserve">4,376 </w:t>
            </w:r>
          </w:p>
        </w:tc>
        <w:tc>
          <w:tcPr>
            <w:tcW w:w="1222" w:type="dxa"/>
            <w:shd w:val="clear" w:color="auto" w:fill="auto"/>
            <w:vAlign w:val="top"/>
          </w:tcPr>
          <w:p w:rsidR="001D7405" w:rsidRPr="004B7CD8" w:rsidRDefault="001D7405" w:rsidP="0012750B">
            <w:pPr>
              <w:spacing w:after="60"/>
            </w:pPr>
            <w:r w:rsidRPr="004B7CD8">
              <w:t xml:space="preserve">2,928 </w:t>
            </w:r>
          </w:p>
        </w:tc>
        <w:tc>
          <w:tcPr>
            <w:tcW w:w="1222" w:type="dxa"/>
            <w:shd w:val="clear" w:color="auto" w:fill="auto"/>
            <w:vAlign w:val="top"/>
          </w:tcPr>
          <w:p w:rsidR="001D7405" w:rsidRPr="004B7CD8" w:rsidRDefault="001D7405" w:rsidP="0012750B">
            <w:pPr>
              <w:spacing w:after="60"/>
            </w:pPr>
            <w:r w:rsidRPr="004B7CD8">
              <w:t xml:space="preserve">7,304 </w:t>
            </w:r>
          </w:p>
        </w:tc>
      </w:tr>
      <w:tr w:rsidR="001D7405" w:rsidTr="004B7CD8">
        <w:tc>
          <w:tcPr>
            <w:tcW w:w="5905" w:type="dxa"/>
            <w:vAlign w:val="top"/>
          </w:tcPr>
          <w:p w:rsidR="001D7405" w:rsidRPr="004B7CD8" w:rsidRDefault="001D7405" w:rsidP="0012750B">
            <w:pPr>
              <w:spacing w:after="60"/>
            </w:pPr>
            <w:r w:rsidRPr="004B7CD8">
              <w:lastRenderedPageBreak/>
              <w:t>Service engagement total</w:t>
            </w:r>
          </w:p>
        </w:tc>
        <w:tc>
          <w:tcPr>
            <w:tcW w:w="1223" w:type="dxa"/>
            <w:vAlign w:val="top"/>
          </w:tcPr>
          <w:p w:rsidR="001D7405" w:rsidRPr="004B7CD8" w:rsidRDefault="001D7405" w:rsidP="0012750B">
            <w:pPr>
              <w:spacing w:after="60"/>
            </w:pPr>
            <w:r w:rsidRPr="004B7CD8">
              <w:t xml:space="preserve">4,486 </w:t>
            </w:r>
          </w:p>
        </w:tc>
        <w:tc>
          <w:tcPr>
            <w:tcW w:w="1222" w:type="dxa"/>
            <w:vAlign w:val="top"/>
          </w:tcPr>
          <w:p w:rsidR="001D7405" w:rsidRPr="004B7CD8" w:rsidRDefault="001D7405" w:rsidP="0012750B">
            <w:pPr>
              <w:spacing w:after="60"/>
            </w:pPr>
            <w:r w:rsidRPr="004B7CD8">
              <w:t xml:space="preserve">3,782 </w:t>
            </w:r>
          </w:p>
        </w:tc>
        <w:tc>
          <w:tcPr>
            <w:tcW w:w="1222" w:type="dxa"/>
            <w:vAlign w:val="top"/>
          </w:tcPr>
          <w:p w:rsidR="001D7405" w:rsidRPr="004B7CD8" w:rsidRDefault="001D7405" w:rsidP="0012750B">
            <w:pPr>
              <w:spacing w:after="60"/>
            </w:pPr>
            <w:r w:rsidRPr="004B7CD8">
              <w:t xml:space="preserve">8,268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4B7CD8" w:rsidRDefault="001D7405" w:rsidP="0012750B">
            <w:pPr>
              <w:spacing w:after="60"/>
            </w:pPr>
            <w:r w:rsidRPr="004B7CD8">
              <w:t xml:space="preserve">Employment total </w:t>
            </w:r>
          </w:p>
        </w:tc>
        <w:tc>
          <w:tcPr>
            <w:tcW w:w="1223" w:type="dxa"/>
            <w:shd w:val="clear" w:color="auto" w:fill="auto"/>
            <w:vAlign w:val="top"/>
          </w:tcPr>
          <w:p w:rsidR="001D7405" w:rsidRPr="004B7CD8" w:rsidRDefault="001D7405" w:rsidP="0012750B">
            <w:pPr>
              <w:spacing w:after="60"/>
            </w:pPr>
            <w:r w:rsidRPr="004B7CD8">
              <w:t xml:space="preserve">1,128 </w:t>
            </w:r>
          </w:p>
        </w:tc>
        <w:tc>
          <w:tcPr>
            <w:tcW w:w="1222" w:type="dxa"/>
            <w:shd w:val="clear" w:color="auto" w:fill="auto"/>
            <w:vAlign w:val="top"/>
          </w:tcPr>
          <w:p w:rsidR="001D7405" w:rsidRPr="004B7CD8" w:rsidRDefault="001D7405" w:rsidP="0012750B">
            <w:pPr>
              <w:spacing w:after="60"/>
            </w:pPr>
            <w:r w:rsidRPr="004B7CD8">
              <w:t xml:space="preserve">158 </w:t>
            </w:r>
          </w:p>
        </w:tc>
        <w:tc>
          <w:tcPr>
            <w:tcW w:w="1222" w:type="dxa"/>
            <w:shd w:val="clear" w:color="auto" w:fill="auto"/>
            <w:vAlign w:val="top"/>
          </w:tcPr>
          <w:p w:rsidR="001D7405" w:rsidRPr="004B7CD8" w:rsidRDefault="001D7405" w:rsidP="0012750B">
            <w:pPr>
              <w:spacing w:after="60"/>
            </w:pPr>
            <w:r w:rsidRPr="004B7CD8">
              <w:t xml:space="preserve">1,286 </w:t>
            </w:r>
          </w:p>
        </w:tc>
      </w:tr>
      <w:tr w:rsidR="001D7405" w:rsidTr="004B7CD8">
        <w:tc>
          <w:tcPr>
            <w:tcW w:w="5905" w:type="dxa"/>
            <w:vAlign w:val="top"/>
          </w:tcPr>
          <w:p w:rsidR="001D7405" w:rsidRPr="004B7CD8" w:rsidRDefault="001D7405" w:rsidP="0012750B">
            <w:pPr>
              <w:spacing w:after="60"/>
            </w:pPr>
            <w:r w:rsidRPr="004B7CD8">
              <w:t>Education and training total</w:t>
            </w:r>
          </w:p>
        </w:tc>
        <w:tc>
          <w:tcPr>
            <w:tcW w:w="1223" w:type="dxa"/>
            <w:vAlign w:val="top"/>
          </w:tcPr>
          <w:p w:rsidR="001D7405" w:rsidRPr="004B7CD8" w:rsidRDefault="001D7405" w:rsidP="0012750B">
            <w:pPr>
              <w:spacing w:after="60"/>
            </w:pPr>
            <w:r w:rsidRPr="004B7CD8">
              <w:t xml:space="preserve">1,150 </w:t>
            </w:r>
          </w:p>
        </w:tc>
        <w:tc>
          <w:tcPr>
            <w:tcW w:w="1222" w:type="dxa"/>
            <w:vAlign w:val="top"/>
          </w:tcPr>
          <w:p w:rsidR="001D7405" w:rsidRPr="004B7CD8" w:rsidRDefault="001D7405" w:rsidP="0012750B">
            <w:pPr>
              <w:spacing w:after="60"/>
            </w:pPr>
            <w:r w:rsidRPr="004B7CD8">
              <w:t xml:space="preserve">856 </w:t>
            </w:r>
          </w:p>
        </w:tc>
        <w:tc>
          <w:tcPr>
            <w:tcW w:w="1222" w:type="dxa"/>
            <w:vAlign w:val="top"/>
          </w:tcPr>
          <w:p w:rsidR="001D7405" w:rsidRPr="004B7CD8" w:rsidRDefault="001D7405" w:rsidP="0012750B">
            <w:pPr>
              <w:spacing w:after="60"/>
            </w:pPr>
            <w:r w:rsidRPr="004B7CD8">
              <w:t xml:space="preserve">2,006 </w:t>
            </w:r>
          </w:p>
        </w:tc>
      </w:tr>
      <w:tr w:rsidR="001D7405" w:rsidTr="004B7CD8">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1D7405" w:rsidRPr="001E3FFD" w:rsidRDefault="001D7405" w:rsidP="0012750B">
            <w:pPr>
              <w:spacing w:after="60"/>
              <w:rPr>
                <w:b/>
              </w:rPr>
            </w:pPr>
            <w:r w:rsidRPr="001E3FFD">
              <w:rPr>
                <w:b/>
              </w:rPr>
              <w:t xml:space="preserve">Total </w:t>
            </w:r>
            <w:r>
              <w:rPr>
                <w:b/>
              </w:rPr>
              <w:t>all individual</w:t>
            </w:r>
            <w:r w:rsidRPr="001E3FFD">
              <w:rPr>
                <w:b/>
              </w:rPr>
              <w:t xml:space="preserve"> </w:t>
            </w:r>
            <w:r>
              <w:rPr>
                <w:b/>
              </w:rPr>
              <w:t>o</w:t>
            </w:r>
            <w:r w:rsidRPr="001E3FFD">
              <w:rPr>
                <w:b/>
              </w:rPr>
              <w:t>utcomes</w:t>
            </w:r>
          </w:p>
        </w:tc>
        <w:tc>
          <w:tcPr>
            <w:tcW w:w="1223" w:type="dxa"/>
            <w:shd w:val="clear" w:color="auto" w:fill="auto"/>
            <w:vAlign w:val="top"/>
          </w:tcPr>
          <w:p w:rsidR="001D7405" w:rsidRPr="00114B3E" w:rsidRDefault="001D7405" w:rsidP="0012750B">
            <w:pPr>
              <w:spacing w:after="60"/>
              <w:rPr>
                <w:b/>
              </w:rPr>
            </w:pPr>
            <w:r w:rsidRPr="00114B3E">
              <w:rPr>
                <w:b/>
              </w:rPr>
              <w:t xml:space="preserve">11,140 </w:t>
            </w:r>
          </w:p>
        </w:tc>
        <w:tc>
          <w:tcPr>
            <w:tcW w:w="1222" w:type="dxa"/>
            <w:shd w:val="clear" w:color="auto" w:fill="auto"/>
            <w:vAlign w:val="top"/>
          </w:tcPr>
          <w:p w:rsidR="001D7405" w:rsidRPr="00114B3E" w:rsidRDefault="001D7405" w:rsidP="0012750B">
            <w:pPr>
              <w:spacing w:after="60"/>
              <w:rPr>
                <w:b/>
              </w:rPr>
            </w:pPr>
            <w:r w:rsidRPr="00114B3E">
              <w:rPr>
                <w:b/>
              </w:rPr>
              <w:t xml:space="preserve">7,724 </w:t>
            </w:r>
          </w:p>
        </w:tc>
        <w:tc>
          <w:tcPr>
            <w:tcW w:w="1222" w:type="dxa"/>
            <w:shd w:val="clear" w:color="auto" w:fill="auto"/>
            <w:vAlign w:val="top"/>
          </w:tcPr>
          <w:p w:rsidR="001D7405" w:rsidRPr="00114B3E" w:rsidRDefault="001D7405" w:rsidP="0012750B">
            <w:pPr>
              <w:spacing w:after="60"/>
              <w:rPr>
                <w:b/>
              </w:rPr>
            </w:pPr>
            <w:r w:rsidRPr="00114B3E">
              <w:rPr>
                <w:b/>
              </w:rPr>
              <w:t xml:space="preserve">18,864 </w:t>
            </w:r>
          </w:p>
        </w:tc>
      </w:tr>
    </w:tbl>
    <w:p w:rsidR="001D7405" w:rsidRDefault="001D7405" w:rsidP="001D7405">
      <w:pPr>
        <w:rPr>
          <w:i/>
          <w:sz w:val="18"/>
        </w:rPr>
      </w:pPr>
      <w:r w:rsidRPr="001E3FFD">
        <w:rPr>
          <w:i/>
          <w:sz w:val="18"/>
        </w:rPr>
        <w:t xml:space="preserve">Source: </w:t>
      </w:r>
      <w:r>
        <w:rPr>
          <w:i/>
          <w:sz w:val="18"/>
        </w:rPr>
        <w:t xml:space="preserve">NSW </w:t>
      </w:r>
      <w:r w:rsidRPr="001E3FFD">
        <w:rPr>
          <w:i/>
          <w:sz w:val="18"/>
        </w:rPr>
        <w:t>FACS</w:t>
      </w:r>
      <w:r>
        <w:rPr>
          <w:i/>
          <w:sz w:val="18"/>
        </w:rPr>
        <w:t xml:space="preserve"> 2016</w:t>
      </w:r>
    </w:p>
    <w:p w:rsidR="00583ACC" w:rsidRPr="003B7DC4" w:rsidRDefault="00583ACC" w:rsidP="00D14BF8">
      <w:pPr>
        <w:pStyle w:val="Heading2"/>
        <w:spacing w:before="360"/>
        <w:rPr>
          <w:iCs w:val="0"/>
        </w:rPr>
      </w:pPr>
      <w:bookmarkStart w:id="102" w:name="_Toc465259718"/>
      <w:bookmarkStart w:id="103" w:name="_Toc467133522"/>
      <w:r w:rsidRPr="003B7DC4">
        <w:rPr>
          <w:iCs w:val="0"/>
        </w:rPr>
        <w:t>Community outcomes</w:t>
      </w:r>
      <w:bookmarkEnd w:id="102"/>
      <w:bookmarkEnd w:id="103"/>
    </w:p>
    <w:p w:rsidR="00583ACC" w:rsidRDefault="00583ACC" w:rsidP="00583ACC">
      <w:r>
        <w:fldChar w:fldCharType="begin"/>
      </w:r>
      <w:r>
        <w:instrText xml:space="preserve"> REF _Ref459200769 \h </w:instrText>
      </w:r>
      <w:r>
        <w:fldChar w:fldCharType="separate"/>
      </w:r>
      <w:r w:rsidR="00770791" w:rsidRPr="003B7DC4">
        <w:t>Table</w:t>
      </w:r>
      <w:r w:rsidR="00770791">
        <w:t>s</w:t>
      </w:r>
      <w:r w:rsidR="00770791" w:rsidRPr="003B7DC4">
        <w:t xml:space="preserve"> </w:t>
      </w:r>
      <w:r w:rsidR="00770791">
        <w:rPr>
          <w:noProof/>
        </w:rPr>
        <w:t>2</w:t>
      </w:r>
      <w:r w:rsidR="00770791" w:rsidRPr="003B7DC4">
        <w:noBreakHyphen/>
      </w:r>
      <w:r w:rsidR="00770791">
        <w:rPr>
          <w:noProof/>
        </w:rPr>
        <w:t>2</w:t>
      </w:r>
      <w:r>
        <w:fldChar w:fldCharType="end"/>
      </w:r>
      <w:r>
        <w:t xml:space="preserve"> details the community outcomes achieved as a result of ALNSW and ELNSW. These are not included as part of the Social CBA.</w:t>
      </w:r>
    </w:p>
    <w:p w:rsidR="00583ACC" w:rsidRPr="003B7DC4" w:rsidRDefault="00583ACC" w:rsidP="00583ACC">
      <w:pPr>
        <w:pStyle w:val="Caption"/>
        <w:rPr>
          <w:sz w:val="20"/>
          <w:szCs w:val="20"/>
        </w:rPr>
      </w:pPr>
      <w:bookmarkStart w:id="104" w:name="_Ref459200769"/>
      <w:bookmarkStart w:id="105" w:name="_Toc466025147"/>
      <w:bookmarkStart w:id="106" w:name="_Toc467137550"/>
      <w:r w:rsidRPr="003B7DC4">
        <w:rPr>
          <w:sz w:val="20"/>
          <w:szCs w:val="20"/>
        </w:rPr>
        <w:t>Table</w:t>
      </w:r>
      <w:r w:rsidR="00B03354">
        <w:rPr>
          <w:sz w:val="20"/>
          <w:szCs w:val="20"/>
        </w:rPr>
        <w:t>s</w:t>
      </w:r>
      <w:r w:rsidRPr="003B7DC4">
        <w:rPr>
          <w:sz w:val="20"/>
          <w:szCs w:val="20"/>
        </w:rPr>
        <w:t xml:space="preserv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2</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2</w:t>
      </w:r>
      <w:r w:rsidRPr="003B7DC4">
        <w:rPr>
          <w:noProof/>
          <w:sz w:val="20"/>
          <w:szCs w:val="20"/>
        </w:rPr>
        <w:fldChar w:fldCharType="end"/>
      </w:r>
      <w:bookmarkEnd w:id="104"/>
      <w:r w:rsidRPr="003B7DC4">
        <w:rPr>
          <w:sz w:val="20"/>
          <w:szCs w:val="20"/>
        </w:rPr>
        <w:t xml:space="preserve"> – Community outcomes (2015-16)</w:t>
      </w:r>
      <w:bookmarkEnd w:id="105"/>
      <w:bookmarkEnd w:id="106"/>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Improved physical and environmental accessibility outcomes achieved in ALNSW and ELNSW"/>
      </w:tblPr>
      <w:tblGrid>
        <w:gridCol w:w="5906"/>
        <w:gridCol w:w="1272"/>
        <w:gridCol w:w="1132"/>
        <w:gridCol w:w="1262"/>
      </w:tblGrid>
      <w:tr w:rsidR="00D14BF8" w:rsidRPr="00D14BF8" w:rsidTr="00B80DE3">
        <w:trPr>
          <w:cnfStyle w:val="100000000000" w:firstRow="1" w:lastRow="0" w:firstColumn="0" w:lastColumn="0" w:oddVBand="0" w:evenVBand="0" w:oddHBand="0" w:evenHBand="0" w:firstRowFirstColumn="0" w:firstRowLastColumn="0" w:lastRowFirstColumn="0" w:lastRowLastColumn="0"/>
          <w:tblHeader/>
        </w:trPr>
        <w:tc>
          <w:tcPr>
            <w:tcW w:w="5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B80DE3" w:rsidP="0012750B">
            <w:pPr>
              <w:spacing w:after="60"/>
              <w:rPr>
                <w:color w:val="auto"/>
              </w:rPr>
            </w:pPr>
            <w:bookmarkStart w:id="107" w:name="ColumnTitle_Table3_2a"/>
            <w:bookmarkEnd w:id="107"/>
            <w:r w:rsidRPr="00B80DE3">
              <w:rPr>
                <w:b/>
                <w:color w:val="auto"/>
              </w:rPr>
              <w:t>Improved physical and environmental accessibility outcomes</w:t>
            </w:r>
          </w:p>
        </w:tc>
        <w:tc>
          <w:tcPr>
            <w:tcW w:w="12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ALNSW</w:t>
            </w:r>
          </w:p>
        </w:tc>
        <w:tc>
          <w:tcPr>
            <w:tcW w:w="11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ELNSW</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83ACC" w:rsidRPr="00D14BF8" w:rsidRDefault="00583ACC" w:rsidP="0012750B">
            <w:pPr>
              <w:spacing w:after="60"/>
              <w:rPr>
                <w:b/>
                <w:color w:val="auto"/>
              </w:rPr>
            </w:pPr>
            <w:r w:rsidRPr="00D14BF8">
              <w:rPr>
                <w:b/>
                <w:color w:val="auto"/>
              </w:rPr>
              <w:t>Total</w:t>
            </w:r>
          </w:p>
        </w:tc>
      </w:tr>
      <w:tr w:rsidR="00583ACC"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583ACC" w:rsidRPr="001F38BA" w:rsidRDefault="00583ACC" w:rsidP="0012750B">
            <w:pPr>
              <w:spacing w:after="60"/>
            </w:pPr>
            <w:r w:rsidRPr="001F38BA">
              <w:t>Improved accessibility of physical access for those with mobility issues</w:t>
            </w:r>
          </w:p>
        </w:tc>
        <w:tc>
          <w:tcPr>
            <w:tcW w:w="1272" w:type="dxa"/>
            <w:shd w:val="clear" w:color="auto" w:fill="auto"/>
            <w:vAlign w:val="top"/>
          </w:tcPr>
          <w:p w:rsidR="00583ACC" w:rsidRPr="002E403C" w:rsidRDefault="00583ACC" w:rsidP="0012750B">
            <w:pPr>
              <w:spacing w:after="60"/>
            </w:pPr>
            <w:r w:rsidRPr="002E403C">
              <w:t xml:space="preserve">148 </w:t>
            </w:r>
          </w:p>
        </w:tc>
        <w:tc>
          <w:tcPr>
            <w:tcW w:w="1132" w:type="dxa"/>
            <w:shd w:val="clear" w:color="auto" w:fill="auto"/>
            <w:vAlign w:val="top"/>
          </w:tcPr>
          <w:p w:rsidR="00583ACC" w:rsidRPr="002E403C" w:rsidRDefault="00583ACC" w:rsidP="0012750B">
            <w:pPr>
              <w:spacing w:after="60"/>
            </w:pPr>
            <w:r w:rsidRPr="002E403C">
              <w:t xml:space="preserve">60 </w:t>
            </w:r>
          </w:p>
        </w:tc>
        <w:tc>
          <w:tcPr>
            <w:tcW w:w="1262" w:type="dxa"/>
            <w:shd w:val="clear" w:color="auto" w:fill="auto"/>
            <w:vAlign w:val="top"/>
          </w:tcPr>
          <w:p w:rsidR="00583ACC" w:rsidRPr="002E403C" w:rsidRDefault="00583ACC" w:rsidP="0012750B">
            <w:pPr>
              <w:spacing w:after="60"/>
            </w:pPr>
            <w:r w:rsidRPr="002E403C">
              <w:t xml:space="preserve">208 </w:t>
            </w:r>
          </w:p>
        </w:tc>
      </w:tr>
      <w:tr w:rsidR="00583ACC" w:rsidTr="00B80DE3">
        <w:tc>
          <w:tcPr>
            <w:tcW w:w="5906" w:type="dxa"/>
            <w:vAlign w:val="top"/>
          </w:tcPr>
          <w:p w:rsidR="00583ACC" w:rsidRPr="001F38BA" w:rsidRDefault="00583ACC" w:rsidP="0012750B">
            <w:pPr>
              <w:spacing w:after="60"/>
            </w:pPr>
            <w:r w:rsidRPr="001F38BA">
              <w:t>Improved accessibility of sensory environment</w:t>
            </w:r>
          </w:p>
        </w:tc>
        <w:tc>
          <w:tcPr>
            <w:tcW w:w="1272" w:type="dxa"/>
            <w:vAlign w:val="top"/>
          </w:tcPr>
          <w:p w:rsidR="00583ACC" w:rsidRPr="002E403C" w:rsidRDefault="00583ACC" w:rsidP="0012750B">
            <w:pPr>
              <w:spacing w:after="60"/>
            </w:pPr>
            <w:r w:rsidRPr="002E403C">
              <w:t xml:space="preserve">86 </w:t>
            </w:r>
          </w:p>
        </w:tc>
        <w:tc>
          <w:tcPr>
            <w:tcW w:w="1132" w:type="dxa"/>
            <w:vAlign w:val="top"/>
          </w:tcPr>
          <w:p w:rsidR="00583ACC" w:rsidRPr="002E403C" w:rsidRDefault="00583ACC" w:rsidP="0012750B">
            <w:pPr>
              <w:spacing w:after="60"/>
            </w:pPr>
            <w:r w:rsidRPr="002E403C">
              <w:t xml:space="preserve">60 </w:t>
            </w:r>
          </w:p>
        </w:tc>
        <w:tc>
          <w:tcPr>
            <w:tcW w:w="1262" w:type="dxa"/>
            <w:vAlign w:val="top"/>
          </w:tcPr>
          <w:p w:rsidR="00583ACC" w:rsidRPr="002E403C" w:rsidRDefault="00583ACC" w:rsidP="0012750B">
            <w:pPr>
              <w:spacing w:after="60"/>
            </w:pPr>
            <w:r w:rsidRPr="002E403C">
              <w:t xml:space="preserve">146 </w:t>
            </w:r>
          </w:p>
        </w:tc>
      </w:tr>
      <w:tr w:rsidR="00583ACC"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583ACC" w:rsidRPr="001F38BA" w:rsidRDefault="00583ACC" w:rsidP="0012750B">
            <w:pPr>
              <w:spacing w:after="60"/>
            </w:pPr>
            <w:r w:rsidRPr="001F38BA">
              <w:t>Improved signage and other communication methods</w:t>
            </w:r>
          </w:p>
        </w:tc>
        <w:tc>
          <w:tcPr>
            <w:tcW w:w="1272" w:type="dxa"/>
            <w:shd w:val="clear" w:color="auto" w:fill="auto"/>
            <w:vAlign w:val="top"/>
          </w:tcPr>
          <w:p w:rsidR="00583ACC" w:rsidRPr="002E403C" w:rsidRDefault="00583ACC" w:rsidP="0012750B">
            <w:pPr>
              <w:spacing w:after="60"/>
            </w:pPr>
            <w:r w:rsidRPr="002E403C">
              <w:t xml:space="preserve">56 </w:t>
            </w:r>
          </w:p>
        </w:tc>
        <w:tc>
          <w:tcPr>
            <w:tcW w:w="1132" w:type="dxa"/>
            <w:shd w:val="clear" w:color="auto" w:fill="auto"/>
            <w:vAlign w:val="top"/>
          </w:tcPr>
          <w:p w:rsidR="00583ACC" w:rsidRPr="002E403C" w:rsidRDefault="00583ACC" w:rsidP="0012750B">
            <w:pPr>
              <w:spacing w:after="60"/>
            </w:pPr>
            <w:r w:rsidRPr="002E403C">
              <w:t xml:space="preserve">44 </w:t>
            </w:r>
          </w:p>
        </w:tc>
        <w:tc>
          <w:tcPr>
            <w:tcW w:w="1262" w:type="dxa"/>
            <w:shd w:val="clear" w:color="auto" w:fill="auto"/>
            <w:vAlign w:val="top"/>
          </w:tcPr>
          <w:p w:rsidR="00583ACC" w:rsidRPr="002E403C" w:rsidRDefault="00583ACC" w:rsidP="0012750B">
            <w:pPr>
              <w:spacing w:after="60"/>
            </w:pPr>
            <w:r w:rsidRPr="002E403C">
              <w:t xml:space="preserve">100 </w:t>
            </w:r>
          </w:p>
        </w:tc>
      </w:tr>
      <w:tr w:rsidR="00583ACC" w:rsidTr="00B80DE3">
        <w:tc>
          <w:tcPr>
            <w:tcW w:w="5906" w:type="dxa"/>
            <w:vAlign w:val="top"/>
          </w:tcPr>
          <w:p w:rsidR="00583ACC" w:rsidRPr="000A3179" w:rsidRDefault="00583ACC" w:rsidP="0012750B">
            <w:pPr>
              <w:spacing w:after="60"/>
              <w:rPr>
                <w:b/>
              </w:rPr>
            </w:pPr>
            <w:r w:rsidRPr="000A3179">
              <w:rPr>
                <w:b/>
              </w:rPr>
              <w:t>Physical and environmental accessibility total</w:t>
            </w:r>
          </w:p>
        </w:tc>
        <w:tc>
          <w:tcPr>
            <w:tcW w:w="1272" w:type="dxa"/>
            <w:vAlign w:val="top"/>
          </w:tcPr>
          <w:p w:rsidR="00583ACC" w:rsidRPr="00114B3E" w:rsidRDefault="00583ACC" w:rsidP="0012750B">
            <w:pPr>
              <w:spacing w:after="60"/>
              <w:rPr>
                <w:b/>
              </w:rPr>
            </w:pPr>
            <w:r w:rsidRPr="00114B3E">
              <w:rPr>
                <w:b/>
              </w:rPr>
              <w:t xml:space="preserve">290 </w:t>
            </w:r>
          </w:p>
        </w:tc>
        <w:tc>
          <w:tcPr>
            <w:tcW w:w="1132" w:type="dxa"/>
            <w:vAlign w:val="top"/>
          </w:tcPr>
          <w:p w:rsidR="00583ACC" w:rsidRPr="00114B3E" w:rsidRDefault="00583ACC" w:rsidP="0012750B">
            <w:pPr>
              <w:spacing w:after="60"/>
              <w:rPr>
                <w:b/>
              </w:rPr>
            </w:pPr>
            <w:r w:rsidRPr="00114B3E">
              <w:rPr>
                <w:b/>
              </w:rPr>
              <w:t xml:space="preserve">164 </w:t>
            </w:r>
          </w:p>
        </w:tc>
        <w:tc>
          <w:tcPr>
            <w:tcW w:w="1262" w:type="dxa"/>
            <w:vAlign w:val="top"/>
          </w:tcPr>
          <w:p w:rsidR="00583ACC" w:rsidRPr="00114B3E" w:rsidRDefault="00583ACC" w:rsidP="0012750B">
            <w:pPr>
              <w:spacing w:after="60"/>
              <w:rPr>
                <w:b/>
              </w:rPr>
            </w:pPr>
            <w:r w:rsidRPr="00114B3E">
              <w:rPr>
                <w:b/>
              </w:rPr>
              <w:t xml:space="preserve">454 </w:t>
            </w:r>
          </w:p>
        </w:tc>
      </w:tr>
    </w:tbl>
    <w:p w:rsidR="00B80DE3" w:rsidRPr="0069578E" w:rsidRDefault="00B80DE3"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usiness practice/service improvement outcomes achieved in ALNSW and ELNSW"/>
      </w:tblPr>
      <w:tblGrid>
        <w:gridCol w:w="5906"/>
        <w:gridCol w:w="1272"/>
        <w:gridCol w:w="1132"/>
        <w:gridCol w:w="1262"/>
      </w:tblGrid>
      <w:tr w:rsidR="00B80DE3" w:rsidRPr="00D14BF8" w:rsidTr="00B80DE3">
        <w:trPr>
          <w:cnfStyle w:val="100000000000" w:firstRow="1" w:lastRow="0" w:firstColumn="0" w:lastColumn="0" w:oddVBand="0" w:evenVBand="0" w:oddHBand="0" w:evenHBand="0" w:firstRowFirstColumn="0" w:firstRowLastColumn="0" w:lastRowFirstColumn="0" w:lastRowLastColumn="0"/>
          <w:tblHeader/>
        </w:trPr>
        <w:tc>
          <w:tcPr>
            <w:tcW w:w="5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B80DE3" w:rsidRDefault="00B80DE3" w:rsidP="0012750B">
            <w:pPr>
              <w:spacing w:after="60"/>
              <w:rPr>
                <w:color w:val="auto"/>
              </w:rPr>
            </w:pPr>
            <w:bookmarkStart w:id="108" w:name="ColumnTitle_Table3_2b"/>
            <w:bookmarkEnd w:id="108"/>
            <w:r w:rsidRPr="00B80DE3">
              <w:rPr>
                <w:b/>
                <w:color w:val="auto"/>
              </w:rPr>
              <w:t>Business practice/service improvement outcomes</w:t>
            </w:r>
          </w:p>
        </w:tc>
        <w:tc>
          <w:tcPr>
            <w:tcW w:w="12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ALNSW</w:t>
            </w:r>
          </w:p>
        </w:tc>
        <w:tc>
          <w:tcPr>
            <w:tcW w:w="11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ELNSW</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Total</w:t>
            </w:r>
          </w:p>
        </w:tc>
      </w:tr>
      <w:tr w:rsidR="00B80DE3"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B80DE3" w:rsidRPr="009C2047" w:rsidRDefault="00B80DE3" w:rsidP="0012750B">
            <w:pPr>
              <w:spacing w:after="60"/>
            </w:pPr>
            <w:r w:rsidRPr="009C2047">
              <w:t>Changed internal policy documents to build in inclusive practices</w:t>
            </w:r>
          </w:p>
        </w:tc>
        <w:tc>
          <w:tcPr>
            <w:tcW w:w="1272" w:type="dxa"/>
            <w:shd w:val="clear" w:color="auto" w:fill="auto"/>
            <w:vAlign w:val="top"/>
          </w:tcPr>
          <w:p w:rsidR="00B80DE3" w:rsidRPr="00970EED" w:rsidRDefault="00B80DE3" w:rsidP="0012750B">
            <w:pPr>
              <w:spacing w:after="60"/>
            </w:pPr>
            <w:r w:rsidRPr="00970EED">
              <w:t xml:space="preserve">30 </w:t>
            </w:r>
          </w:p>
        </w:tc>
        <w:tc>
          <w:tcPr>
            <w:tcW w:w="1132" w:type="dxa"/>
            <w:shd w:val="clear" w:color="auto" w:fill="auto"/>
            <w:vAlign w:val="top"/>
          </w:tcPr>
          <w:p w:rsidR="00B80DE3" w:rsidRPr="00970EED" w:rsidRDefault="00B80DE3" w:rsidP="0012750B">
            <w:pPr>
              <w:spacing w:after="60"/>
            </w:pPr>
            <w:r w:rsidRPr="00970EED">
              <w:t xml:space="preserve">24 </w:t>
            </w:r>
          </w:p>
        </w:tc>
        <w:tc>
          <w:tcPr>
            <w:tcW w:w="1262" w:type="dxa"/>
            <w:shd w:val="clear" w:color="auto" w:fill="auto"/>
            <w:vAlign w:val="top"/>
          </w:tcPr>
          <w:p w:rsidR="00B80DE3" w:rsidRPr="00970EED" w:rsidRDefault="00B80DE3" w:rsidP="0012750B">
            <w:pPr>
              <w:spacing w:after="60"/>
            </w:pPr>
            <w:r w:rsidRPr="00970EED">
              <w:t xml:space="preserve">54 </w:t>
            </w:r>
          </w:p>
        </w:tc>
      </w:tr>
      <w:tr w:rsidR="00B80DE3" w:rsidTr="00B80DE3">
        <w:tc>
          <w:tcPr>
            <w:tcW w:w="5906" w:type="dxa"/>
            <w:vAlign w:val="top"/>
          </w:tcPr>
          <w:p w:rsidR="00B80DE3" w:rsidRPr="009C2047" w:rsidRDefault="00B80DE3" w:rsidP="0012750B">
            <w:pPr>
              <w:spacing w:after="60"/>
            </w:pPr>
            <w:r w:rsidRPr="009C2047">
              <w:t>Delivered staff training on disability inclusion and awareness</w:t>
            </w:r>
          </w:p>
        </w:tc>
        <w:tc>
          <w:tcPr>
            <w:tcW w:w="1272" w:type="dxa"/>
            <w:vAlign w:val="top"/>
          </w:tcPr>
          <w:p w:rsidR="00B80DE3" w:rsidRPr="00970EED" w:rsidRDefault="00B80DE3" w:rsidP="0012750B">
            <w:pPr>
              <w:spacing w:after="60"/>
            </w:pPr>
            <w:r w:rsidRPr="00970EED">
              <w:t xml:space="preserve">64 </w:t>
            </w:r>
          </w:p>
        </w:tc>
        <w:tc>
          <w:tcPr>
            <w:tcW w:w="1132" w:type="dxa"/>
            <w:vAlign w:val="top"/>
          </w:tcPr>
          <w:p w:rsidR="00B80DE3" w:rsidRPr="00970EED" w:rsidRDefault="00B80DE3" w:rsidP="0012750B">
            <w:pPr>
              <w:spacing w:after="60"/>
            </w:pPr>
            <w:r w:rsidRPr="00970EED">
              <w:t xml:space="preserve">38 </w:t>
            </w:r>
          </w:p>
        </w:tc>
        <w:tc>
          <w:tcPr>
            <w:tcW w:w="1262" w:type="dxa"/>
            <w:vAlign w:val="top"/>
          </w:tcPr>
          <w:p w:rsidR="00B80DE3" w:rsidRPr="00970EED" w:rsidRDefault="00B80DE3" w:rsidP="0012750B">
            <w:pPr>
              <w:spacing w:after="60"/>
            </w:pPr>
            <w:r w:rsidRPr="00970EED">
              <w:t xml:space="preserve">102 </w:t>
            </w:r>
          </w:p>
        </w:tc>
      </w:tr>
      <w:tr w:rsidR="00B80DE3"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B80DE3" w:rsidRPr="009C2047" w:rsidRDefault="00B80DE3" w:rsidP="0012750B">
            <w:pPr>
              <w:spacing w:after="60"/>
            </w:pPr>
            <w:r w:rsidRPr="009C2047">
              <w:t>Improved employment/recruitment process</w:t>
            </w:r>
          </w:p>
        </w:tc>
        <w:tc>
          <w:tcPr>
            <w:tcW w:w="1272" w:type="dxa"/>
            <w:shd w:val="clear" w:color="auto" w:fill="auto"/>
            <w:vAlign w:val="top"/>
          </w:tcPr>
          <w:p w:rsidR="00B80DE3" w:rsidRPr="00970EED" w:rsidRDefault="00B80DE3" w:rsidP="0012750B">
            <w:pPr>
              <w:spacing w:after="60"/>
            </w:pPr>
            <w:r w:rsidRPr="00970EED">
              <w:t xml:space="preserve">8 </w:t>
            </w:r>
          </w:p>
        </w:tc>
        <w:tc>
          <w:tcPr>
            <w:tcW w:w="1132" w:type="dxa"/>
            <w:shd w:val="clear" w:color="auto" w:fill="auto"/>
            <w:vAlign w:val="top"/>
          </w:tcPr>
          <w:p w:rsidR="00B80DE3" w:rsidRPr="00970EED" w:rsidRDefault="00B80DE3" w:rsidP="0012750B">
            <w:pPr>
              <w:spacing w:after="60"/>
            </w:pPr>
            <w:r w:rsidRPr="00970EED">
              <w:t xml:space="preserve">14 </w:t>
            </w:r>
          </w:p>
        </w:tc>
        <w:tc>
          <w:tcPr>
            <w:tcW w:w="1262" w:type="dxa"/>
            <w:shd w:val="clear" w:color="auto" w:fill="auto"/>
            <w:vAlign w:val="top"/>
          </w:tcPr>
          <w:p w:rsidR="00B80DE3" w:rsidRPr="00970EED" w:rsidRDefault="00B80DE3" w:rsidP="0012750B">
            <w:pPr>
              <w:spacing w:after="60"/>
            </w:pPr>
            <w:r w:rsidRPr="00970EED">
              <w:t xml:space="preserve">22 </w:t>
            </w:r>
          </w:p>
        </w:tc>
      </w:tr>
      <w:tr w:rsidR="00B80DE3" w:rsidTr="00B80DE3">
        <w:tc>
          <w:tcPr>
            <w:tcW w:w="5906" w:type="dxa"/>
            <w:vAlign w:val="top"/>
          </w:tcPr>
          <w:p w:rsidR="00B80DE3" w:rsidRPr="009C2047" w:rsidRDefault="00B80DE3" w:rsidP="0012750B">
            <w:pPr>
              <w:spacing w:after="60"/>
            </w:pPr>
            <w:r w:rsidRPr="009C2047">
              <w:t>Promotes their organisation as being actively inclusive of people with disability</w:t>
            </w:r>
          </w:p>
        </w:tc>
        <w:tc>
          <w:tcPr>
            <w:tcW w:w="1272" w:type="dxa"/>
            <w:vAlign w:val="top"/>
          </w:tcPr>
          <w:p w:rsidR="00B80DE3" w:rsidRPr="00970EED" w:rsidRDefault="00B80DE3" w:rsidP="0012750B">
            <w:pPr>
              <w:spacing w:after="60"/>
            </w:pPr>
            <w:r w:rsidRPr="00970EED">
              <w:t xml:space="preserve">432 </w:t>
            </w:r>
          </w:p>
        </w:tc>
        <w:tc>
          <w:tcPr>
            <w:tcW w:w="1132" w:type="dxa"/>
            <w:vAlign w:val="top"/>
          </w:tcPr>
          <w:p w:rsidR="00B80DE3" w:rsidRPr="00970EED" w:rsidRDefault="00B80DE3" w:rsidP="0012750B">
            <w:pPr>
              <w:spacing w:after="60"/>
            </w:pPr>
            <w:r w:rsidRPr="00970EED">
              <w:t xml:space="preserve">262 </w:t>
            </w:r>
          </w:p>
        </w:tc>
        <w:tc>
          <w:tcPr>
            <w:tcW w:w="1262" w:type="dxa"/>
            <w:vAlign w:val="top"/>
          </w:tcPr>
          <w:p w:rsidR="00B80DE3" w:rsidRPr="00970EED" w:rsidRDefault="00B80DE3" w:rsidP="0012750B">
            <w:pPr>
              <w:spacing w:after="60"/>
            </w:pPr>
            <w:r w:rsidRPr="00970EED">
              <w:t xml:space="preserve">694 </w:t>
            </w:r>
          </w:p>
        </w:tc>
      </w:tr>
      <w:tr w:rsidR="00B80DE3"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B80DE3" w:rsidRPr="005B249B" w:rsidRDefault="00B80DE3" w:rsidP="0012750B">
            <w:pPr>
              <w:spacing w:after="60"/>
              <w:rPr>
                <w:b/>
              </w:rPr>
            </w:pPr>
            <w:r w:rsidRPr="005B249B">
              <w:rPr>
                <w:b/>
              </w:rPr>
              <w:t>Business practice / service improvement total</w:t>
            </w:r>
          </w:p>
        </w:tc>
        <w:tc>
          <w:tcPr>
            <w:tcW w:w="1272" w:type="dxa"/>
            <w:shd w:val="clear" w:color="auto" w:fill="auto"/>
            <w:vAlign w:val="top"/>
          </w:tcPr>
          <w:p w:rsidR="00B80DE3" w:rsidRPr="00114B3E" w:rsidRDefault="00B80DE3" w:rsidP="0012750B">
            <w:pPr>
              <w:spacing w:after="60"/>
              <w:rPr>
                <w:b/>
              </w:rPr>
            </w:pPr>
            <w:r w:rsidRPr="00114B3E">
              <w:rPr>
                <w:b/>
              </w:rPr>
              <w:t xml:space="preserve">534 </w:t>
            </w:r>
          </w:p>
        </w:tc>
        <w:tc>
          <w:tcPr>
            <w:tcW w:w="1132" w:type="dxa"/>
            <w:shd w:val="clear" w:color="auto" w:fill="auto"/>
            <w:vAlign w:val="top"/>
          </w:tcPr>
          <w:p w:rsidR="00B80DE3" w:rsidRPr="00114B3E" w:rsidRDefault="00B80DE3" w:rsidP="0012750B">
            <w:pPr>
              <w:spacing w:after="60"/>
              <w:rPr>
                <w:b/>
              </w:rPr>
            </w:pPr>
            <w:r w:rsidRPr="00114B3E">
              <w:rPr>
                <w:b/>
              </w:rPr>
              <w:t xml:space="preserve">338 </w:t>
            </w:r>
          </w:p>
        </w:tc>
        <w:tc>
          <w:tcPr>
            <w:tcW w:w="1262" w:type="dxa"/>
            <w:shd w:val="clear" w:color="auto" w:fill="auto"/>
            <w:vAlign w:val="top"/>
          </w:tcPr>
          <w:p w:rsidR="00B80DE3" w:rsidRPr="00114B3E" w:rsidRDefault="00B80DE3" w:rsidP="0012750B">
            <w:pPr>
              <w:spacing w:after="60"/>
              <w:rPr>
                <w:b/>
              </w:rPr>
            </w:pPr>
            <w:r w:rsidRPr="00114B3E">
              <w:rPr>
                <w:b/>
              </w:rPr>
              <w:t xml:space="preserve">872 </w:t>
            </w:r>
          </w:p>
        </w:tc>
      </w:tr>
    </w:tbl>
    <w:p w:rsidR="00B80DE3" w:rsidRPr="0069578E" w:rsidRDefault="00B80DE3"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usiness/organisation leadership outcomes achieved in ALNSW and ELNSW"/>
      </w:tblPr>
      <w:tblGrid>
        <w:gridCol w:w="5906"/>
        <w:gridCol w:w="1272"/>
        <w:gridCol w:w="1132"/>
        <w:gridCol w:w="1262"/>
      </w:tblGrid>
      <w:tr w:rsidR="00B80DE3" w:rsidRPr="00D14BF8" w:rsidTr="00B80DE3">
        <w:trPr>
          <w:cnfStyle w:val="100000000000" w:firstRow="1" w:lastRow="0" w:firstColumn="0" w:lastColumn="0" w:oddVBand="0" w:evenVBand="0" w:oddHBand="0" w:evenHBand="0" w:firstRowFirstColumn="0" w:firstRowLastColumn="0" w:lastRowFirstColumn="0" w:lastRowLastColumn="0"/>
          <w:tblHeader/>
        </w:trPr>
        <w:tc>
          <w:tcPr>
            <w:tcW w:w="5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color w:val="auto"/>
              </w:rPr>
            </w:pPr>
            <w:bookmarkStart w:id="109" w:name="ColumnTitle_Table3_2c"/>
            <w:bookmarkEnd w:id="109"/>
            <w:r w:rsidRPr="00B80DE3">
              <w:rPr>
                <w:b/>
                <w:color w:val="auto"/>
              </w:rPr>
              <w:t>Business/organisation leadership outcomes</w:t>
            </w:r>
          </w:p>
        </w:tc>
        <w:tc>
          <w:tcPr>
            <w:tcW w:w="12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ALNSW</w:t>
            </w:r>
          </w:p>
        </w:tc>
        <w:tc>
          <w:tcPr>
            <w:tcW w:w="11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ELNSW</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Total</w:t>
            </w:r>
          </w:p>
        </w:tc>
      </w:tr>
      <w:tr w:rsidR="00B80DE3"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B80DE3" w:rsidRPr="001C5D75" w:rsidRDefault="00B80DE3" w:rsidP="0012750B">
            <w:pPr>
              <w:spacing w:after="60"/>
            </w:pPr>
            <w:r w:rsidRPr="001C5D75">
              <w:t>Organised/hosted education or awareness raising activities</w:t>
            </w:r>
          </w:p>
        </w:tc>
        <w:tc>
          <w:tcPr>
            <w:tcW w:w="1272" w:type="dxa"/>
            <w:shd w:val="clear" w:color="auto" w:fill="auto"/>
            <w:vAlign w:val="top"/>
          </w:tcPr>
          <w:p w:rsidR="00B80DE3" w:rsidRPr="005261FE" w:rsidRDefault="00B80DE3" w:rsidP="0012750B">
            <w:pPr>
              <w:spacing w:after="60"/>
            </w:pPr>
            <w:r w:rsidRPr="005261FE">
              <w:t xml:space="preserve">230 </w:t>
            </w:r>
          </w:p>
        </w:tc>
        <w:tc>
          <w:tcPr>
            <w:tcW w:w="1132" w:type="dxa"/>
            <w:shd w:val="clear" w:color="auto" w:fill="auto"/>
            <w:vAlign w:val="top"/>
          </w:tcPr>
          <w:p w:rsidR="00B80DE3" w:rsidRPr="005261FE" w:rsidRDefault="00B80DE3" w:rsidP="0012750B">
            <w:pPr>
              <w:spacing w:after="60"/>
            </w:pPr>
            <w:r w:rsidRPr="005261FE">
              <w:t xml:space="preserve">158 </w:t>
            </w:r>
          </w:p>
        </w:tc>
        <w:tc>
          <w:tcPr>
            <w:tcW w:w="1262" w:type="dxa"/>
            <w:shd w:val="clear" w:color="auto" w:fill="auto"/>
            <w:vAlign w:val="top"/>
          </w:tcPr>
          <w:p w:rsidR="00B80DE3" w:rsidRPr="005261FE" w:rsidRDefault="00B80DE3" w:rsidP="0012750B">
            <w:pPr>
              <w:spacing w:after="60"/>
            </w:pPr>
            <w:r w:rsidRPr="005261FE">
              <w:t xml:space="preserve">388 </w:t>
            </w:r>
          </w:p>
        </w:tc>
      </w:tr>
      <w:tr w:rsidR="00B80DE3" w:rsidTr="00B80DE3">
        <w:tc>
          <w:tcPr>
            <w:tcW w:w="5906" w:type="dxa"/>
            <w:vAlign w:val="top"/>
          </w:tcPr>
          <w:p w:rsidR="00B80DE3" w:rsidRDefault="00B80DE3" w:rsidP="0012750B">
            <w:pPr>
              <w:spacing w:after="60"/>
            </w:pPr>
            <w:r w:rsidRPr="001C5D75">
              <w:t>Implemented formal partnership arrangements</w:t>
            </w:r>
          </w:p>
        </w:tc>
        <w:tc>
          <w:tcPr>
            <w:tcW w:w="1272" w:type="dxa"/>
            <w:vAlign w:val="top"/>
          </w:tcPr>
          <w:p w:rsidR="00B80DE3" w:rsidRPr="005261FE" w:rsidRDefault="00B80DE3" w:rsidP="0012750B">
            <w:pPr>
              <w:spacing w:after="60"/>
            </w:pPr>
            <w:r w:rsidRPr="005261FE">
              <w:t xml:space="preserve">228 </w:t>
            </w:r>
          </w:p>
        </w:tc>
        <w:tc>
          <w:tcPr>
            <w:tcW w:w="1132" w:type="dxa"/>
            <w:vAlign w:val="top"/>
          </w:tcPr>
          <w:p w:rsidR="00B80DE3" w:rsidRPr="005261FE" w:rsidRDefault="00B80DE3" w:rsidP="0012750B">
            <w:pPr>
              <w:spacing w:after="60"/>
            </w:pPr>
            <w:r w:rsidRPr="005261FE">
              <w:t xml:space="preserve">190 </w:t>
            </w:r>
          </w:p>
        </w:tc>
        <w:tc>
          <w:tcPr>
            <w:tcW w:w="1262" w:type="dxa"/>
            <w:vAlign w:val="top"/>
          </w:tcPr>
          <w:p w:rsidR="00B80DE3" w:rsidRPr="005261FE" w:rsidRDefault="00B80DE3" w:rsidP="0012750B">
            <w:pPr>
              <w:spacing w:after="60"/>
            </w:pPr>
            <w:r w:rsidRPr="005261FE">
              <w:t xml:space="preserve">418 </w:t>
            </w:r>
          </w:p>
        </w:tc>
      </w:tr>
      <w:tr w:rsidR="00B80DE3" w:rsidTr="00B80DE3">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tcPr>
          <w:p w:rsidR="00B80DE3" w:rsidRPr="005B249B" w:rsidRDefault="00B80DE3" w:rsidP="0012750B">
            <w:pPr>
              <w:spacing w:after="60"/>
              <w:rPr>
                <w:b/>
              </w:rPr>
            </w:pPr>
            <w:r w:rsidRPr="005B249B">
              <w:rPr>
                <w:b/>
              </w:rPr>
              <w:t>Business/organisation leadership total</w:t>
            </w:r>
          </w:p>
        </w:tc>
        <w:tc>
          <w:tcPr>
            <w:tcW w:w="1272" w:type="dxa"/>
            <w:shd w:val="clear" w:color="auto" w:fill="auto"/>
            <w:vAlign w:val="top"/>
          </w:tcPr>
          <w:p w:rsidR="00B80DE3" w:rsidRPr="00114B3E" w:rsidRDefault="00B80DE3" w:rsidP="0012750B">
            <w:pPr>
              <w:spacing w:after="60"/>
              <w:rPr>
                <w:b/>
              </w:rPr>
            </w:pPr>
            <w:r w:rsidRPr="00114B3E">
              <w:rPr>
                <w:b/>
              </w:rPr>
              <w:t xml:space="preserve">458 </w:t>
            </w:r>
          </w:p>
        </w:tc>
        <w:tc>
          <w:tcPr>
            <w:tcW w:w="1132" w:type="dxa"/>
            <w:shd w:val="clear" w:color="auto" w:fill="auto"/>
            <w:vAlign w:val="top"/>
          </w:tcPr>
          <w:p w:rsidR="00B80DE3" w:rsidRPr="00114B3E" w:rsidRDefault="00B80DE3" w:rsidP="0012750B">
            <w:pPr>
              <w:spacing w:after="60"/>
              <w:rPr>
                <w:b/>
              </w:rPr>
            </w:pPr>
            <w:r w:rsidRPr="00114B3E">
              <w:rPr>
                <w:b/>
              </w:rPr>
              <w:t xml:space="preserve">348 </w:t>
            </w:r>
          </w:p>
        </w:tc>
        <w:tc>
          <w:tcPr>
            <w:tcW w:w="1262" w:type="dxa"/>
            <w:shd w:val="clear" w:color="auto" w:fill="auto"/>
            <w:vAlign w:val="top"/>
          </w:tcPr>
          <w:p w:rsidR="00B80DE3" w:rsidRPr="00114B3E" w:rsidRDefault="00B80DE3" w:rsidP="0012750B">
            <w:pPr>
              <w:spacing w:after="60"/>
              <w:rPr>
                <w:b/>
              </w:rPr>
            </w:pPr>
            <w:r w:rsidRPr="00114B3E">
              <w:rPr>
                <w:b/>
              </w:rPr>
              <w:t xml:space="preserve">806 </w:t>
            </w:r>
          </w:p>
        </w:tc>
      </w:tr>
    </w:tbl>
    <w:p w:rsidR="00B80DE3" w:rsidRPr="0069578E" w:rsidRDefault="00B80DE3"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The total community outcomes achieved in ALNSW and ELNSW"/>
      </w:tblPr>
      <w:tblGrid>
        <w:gridCol w:w="5906"/>
        <w:gridCol w:w="1272"/>
        <w:gridCol w:w="1132"/>
        <w:gridCol w:w="1262"/>
      </w:tblGrid>
      <w:tr w:rsidR="00B80DE3" w:rsidRPr="00D14BF8" w:rsidTr="00EF3EC1">
        <w:trPr>
          <w:cnfStyle w:val="100000000000" w:firstRow="1" w:lastRow="0" w:firstColumn="0" w:lastColumn="0" w:oddVBand="0" w:evenVBand="0" w:oddHBand="0" w:evenHBand="0" w:firstRowFirstColumn="0" w:firstRowLastColumn="0" w:lastRowFirstColumn="0" w:lastRowLastColumn="0"/>
          <w:tblHeader/>
        </w:trPr>
        <w:tc>
          <w:tcPr>
            <w:tcW w:w="5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B03354">
            <w:pPr>
              <w:spacing w:after="60"/>
              <w:rPr>
                <w:color w:val="auto"/>
              </w:rPr>
            </w:pPr>
            <w:bookmarkStart w:id="110" w:name="ColumnTitle_Table3_2"/>
            <w:bookmarkStart w:id="111" w:name="ColumnTitle_Table3_2d"/>
            <w:bookmarkEnd w:id="110"/>
            <w:bookmarkEnd w:id="111"/>
            <w:r w:rsidRPr="00B80DE3">
              <w:rPr>
                <w:b/>
                <w:color w:val="auto"/>
              </w:rPr>
              <w:t>Total community outcomes</w:t>
            </w:r>
          </w:p>
        </w:tc>
        <w:tc>
          <w:tcPr>
            <w:tcW w:w="12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ALNSW</w:t>
            </w:r>
          </w:p>
        </w:tc>
        <w:tc>
          <w:tcPr>
            <w:tcW w:w="11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ELNSW</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0DE3" w:rsidRPr="00D14BF8" w:rsidRDefault="00B80DE3" w:rsidP="0012750B">
            <w:pPr>
              <w:spacing w:after="60"/>
              <w:rPr>
                <w:b/>
                <w:color w:val="auto"/>
              </w:rPr>
            </w:pPr>
            <w:r w:rsidRPr="00D14BF8">
              <w:rPr>
                <w:b/>
                <w:color w:val="auto"/>
              </w:rPr>
              <w:t>Total</w:t>
            </w:r>
          </w:p>
        </w:tc>
      </w:tr>
      <w:tr w:rsidR="00B80DE3" w:rsidTr="00EF3EC1">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vAlign w:val="top"/>
          </w:tcPr>
          <w:p w:rsidR="00B80DE3" w:rsidRPr="00B80DE3" w:rsidRDefault="00B80DE3" w:rsidP="00B03354">
            <w:pPr>
              <w:spacing w:after="60"/>
            </w:pPr>
            <w:r w:rsidRPr="00B80DE3">
              <w:t xml:space="preserve">Physical and environmental accessibility </w:t>
            </w:r>
          </w:p>
        </w:tc>
        <w:tc>
          <w:tcPr>
            <w:tcW w:w="1272" w:type="dxa"/>
            <w:shd w:val="clear" w:color="auto" w:fill="auto"/>
            <w:vAlign w:val="top"/>
          </w:tcPr>
          <w:p w:rsidR="00B80DE3" w:rsidRPr="00B80DE3" w:rsidRDefault="00B80DE3" w:rsidP="0012750B">
            <w:pPr>
              <w:spacing w:after="60"/>
            </w:pPr>
            <w:r w:rsidRPr="00B80DE3">
              <w:t xml:space="preserve">290 </w:t>
            </w:r>
          </w:p>
        </w:tc>
        <w:tc>
          <w:tcPr>
            <w:tcW w:w="1132" w:type="dxa"/>
            <w:shd w:val="clear" w:color="auto" w:fill="auto"/>
            <w:vAlign w:val="top"/>
          </w:tcPr>
          <w:p w:rsidR="00B80DE3" w:rsidRPr="00B80DE3" w:rsidRDefault="00B80DE3" w:rsidP="0012750B">
            <w:pPr>
              <w:spacing w:after="60"/>
            </w:pPr>
            <w:r w:rsidRPr="00B80DE3">
              <w:t xml:space="preserve">164 </w:t>
            </w:r>
          </w:p>
        </w:tc>
        <w:tc>
          <w:tcPr>
            <w:tcW w:w="1262" w:type="dxa"/>
            <w:shd w:val="clear" w:color="auto" w:fill="auto"/>
            <w:vAlign w:val="top"/>
          </w:tcPr>
          <w:p w:rsidR="00B80DE3" w:rsidRPr="00B80DE3" w:rsidRDefault="00B80DE3" w:rsidP="0012750B">
            <w:pPr>
              <w:spacing w:after="60"/>
            </w:pPr>
            <w:r w:rsidRPr="00B80DE3">
              <w:t xml:space="preserve">454 </w:t>
            </w:r>
          </w:p>
        </w:tc>
      </w:tr>
      <w:tr w:rsidR="00B80DE3" w:rsidTr="00EF3EC1">
        <w:tc>
          <w:tcPr>
            <w:tcW w:w="5906" w:type="dxa"/>
            <w:vAlign w:val="top"/>
          </w:tcPr>
          <w:p w:rsidR="00B80DE3" w:rsidRPr="00B80DE3" w:rsidRDefault="00B80DE3" w:rsidP="00B03354">
            <w:pPr>
              <w:spacing w:after="60"/>
            </w:pPr>
            <w:r w:rsidRPr="00B80DE3">
              <w:t xml:space="preserve">Business practice / service improvement </w:t>
            </w:r>
          </w:p>
        </w:tc>
        <w:tc>
          <w:tcPr>
            <w:tcW w:w="1272" w:type="dxa"/>
            <w:vAlign w:val="top"/>
          </w:tcPr>
          <w:p w:rsidR="00B80DE3" w:rsidRPr="00B80DE3" w:rsidRDefault="00B80DE3" w:rsidP="0012750B">
            <w:pPr>
              <w:spacing w:after="60"/>
            </w:pPr>
            <w:r w:rsidRPr="00B80DE3">
              <w:t xml:space="preserve">534 </w:t>
            </w:r>
          </w:p>
        </w:tc>
        <w:tc>
          <w:tcPr>
            <w:tcW w:w="1132" w:type="dxa"/>
            <w:vAlign w:val="top"/>
          </w:tcPr>
          <w:p w:rsidR="00B80DE3" w:rsidRPr="00B80DE3" w:rsidRDefault="00B80DE3" w:rsidP="0012750B">
            <w:pPr>
              <w:spacing w:after="60"/>
            </w:pPr>
            <w:r w:rsidRPr="00B80DE3">
              <w:t xml:space="preserve">338 </w:t>
            </w:r>
          </w:p>
        </w:tc>
        <w:tc>
          <w:tcPr>
            <w:tcW w:w="1262" w:type="dxa"/>
            <w:vAlign w:val="top"/>
          </w:tcPr>
          <w:p w:rsidR="00B80DE3" w:rsidRPr="00B80DE3" w:rsidRDefault="00B80DE3" w:rsidP="0012750B">
            <w:pPr>
              <w:spacing w:after="60"/>
            </w:pPr>
            <w:r w:rsidRPr="00B80DE3">
              <w:t xml:space="preserve">872 </w:t>
            </w:r>
          </w:p>
        </w:tc>
      </w:tr>
      <w:tr w:rsidR="00B80DE3" w:rsidTr="00EF3EC1">
        <w:trPr>
          <w:cnfStyle w:val="000000100000" w:firstRow="0" w:lastRow="0" w:firstColumn="0" w:lastColumn="0" w:oddVBand="0" w:evenVBand="0" w:oddHBand="1" w:evenHBand="0" w:firstRowFirstColumn="0" w:firstRowLastColumn="0" w:lastRowFirstColumn="0" w:lastRowLastColumn="0"/>
        </w:trPr>
        <w:tc>
          <w:tcPr>
            <w:tcW w:w="5906" w:type="dxa"/>
            <w:shd w:val="clear" w:color="auto" w:fill="auto"/>
          </w:tcPr>
          <w:p w:rsidR="00B80DE3" w:rsidRPr="00B80DE3" w:rsidRDefault="00B80DE3" w:rsidP="00B03354">
            <w:pPr>
              <w:spacing w:after="60"/>
            </w:pPr>
            <w:r w:rsidRPr="00B80DE3">
              <w:t xml:space="preserve">Business/organisation leadership </w:t>
            </w:r>
          </w:p>
        </w:tc>
        <w:tc>
          <w:tcPr>
            <w:tcW w:w="1272" w:type="dxa"/>
            <w:shd w:val="clear" w:color="auto" w:fill="auto"/>
            <w:vAlign w:val="top"/>
          </w:tcPr>
          <w:p w:rsidR="00B80DE3" w:rsidRPr="00B80DE3" w:rsidRDefault="00B80DE3" w:rsidP="0012750B">
            <w:pPr>
              <w:spacing w:after="60"/>
            </w:pPr>
            <w:r w:rsidRPr="00B80DE3">
              <w:t xml:space="preserve">458 </w:t>
            </w:r>
          </w:p>
        </w:tc>
        <w:tc>
          <w:tcPr>
            <w:tcW w:w="1132" w:type="dxa"/>
            <w:shd w:val="clear" w:color="auto" w:fill="auto"/>
            <w:vAlign w:val="top"/>
          </w:tcPr>
          <w:p w:rsidR="00B80DE3" w:rsidRPr="00B80DE3" w:rsidRDefault="00B80DE3" w:rsidP="0012750B">
            <w:pPr>
              <w:spacing w:after="60"/>
            </w:pPr>
            <w:r w:rsidRPr="00B80DE3">
              <w:t xml:space="preserve">348 </w:t>
            </w:r>
          </w:p>
        </w:tc>
        <w:tc>
          <w:tcPr>
            <w:tcW w:w="1262" w:type="dxa"/>
            <w:shd w:val="clear" w:color="auto" w:fill="auto"/>
            <w:vAlign w:val="top"/>
          </w:tcPr>
          <w:p w:rsidR="00B80DE3" w:rsidRPr="00B80DE3" w:rsidRDefault="00B80DE3" w:rsidP="0012750B">
            <w:pPr>
              <w:spacing w:after="60"/>
            </w:pPr>
            <w:r w:rsidRPr="00B80DE3">
              <w:t xml:space="preserve">806 </w:t>
            </w:r>
          </w:p>
        </w:tc>
      </w:tr>
      <w:tr w:rsidR="00B80DE3" w:rsidTr="00EF3EC1">
        <w:tc>
          <w:tcPr>
            <w:tcW w:w="5906" w:type="dxa"/>
          </w:tcPr>
          <w:p w:rsidR="00B80DE3" w:rsidRPr="00E53352" w:rsidRDefault="00B80DE3" w:rsidP="0012750B">
            <w:pPr>
              <w:spacing w:after="60"/>
              <w:rPr>
                <w:b/>
              </w:rPr>
            </w:pPr>
            <w:r>
              <w:rPr>
                <w:b/>
              </w:rPr>
              <w:t>Total all community outcomes</w:t>
            </w:r>
          </w:p>
        </w:tc>
        <w:tc>
          <w:tcPr>
            <w:tcW w:w="1272" w:type="dxa"/>
            <w:vAlign w:val="top"/>
          </w:tcPr>
          <w:p w:rsidR="00B80DE3" w:rsidRPr="00114B3E" w:rsidRDefault="00B80DE3" w:rsidP="0012750B">
            <w:pPr>
              <w:spacing w:after="60"/>
              <w:rPr>
                <w:b/>
              </w:rPr>
            </w:pPr>
            <w:r>
              <w:rPr>
                <w:b/>
              </w:rPr>
              <w:t>1,282</w:t>
            </w:r>
            <w:r w:rsidRPr="00114B3E">
              <w:rPr>
                <w:b/>
              </w:rPr>
              <w:t xml:space="preserve"> </w:t>
            </w:r>
          </w:p>
        </w:tc>
        <w:tc>
          <w:tcPr>
            <w:tcW w:w="1132" w:type="dxa"/>
            <w:vAlign w:val="top"/>
          </w:tcPr>
          <w:p w:rsidR="00B80DE3" w:rsidRPr="00114B3E" w:rsidRDefault="00B80DE3" w:rsidP="0012750B">
            <w:pPr>
              <w:spacing w:after="60"/>
              <w:rPr>
                <w:b/>
              </w:rPr>
            </w:pPr>
            <w:r>
              <w:rPr>
                <w:b/>
              </w:rPr>
              <w:t>850</w:t>
            </w:r>
            <w:r w:rsidRPr="00114B3E">
              <w:rPr>
                <w:b/>
              </w:rPr>
              <w:t xml:space="preserve"> </w:t>
            </w:r>
          </w:p>
        </w:tc>
        <w:tc>
          <w:tcPr>
            <w:tcW w:w="1262" w:type="dxa"/>
            <w:vAlign w:val="top"/>
          </w:tcPr>
          <w:p w:rsidR="00B80DE3" w:rsidRPr="00114B3E" w:rsidRDefault="00B80DE3" w:rsidP="0012750B">
            <w:pPr>
              <w:spacing w:after="60"/>
              <w:rPr>
                <w:b/>
              </w:rPr>
            </w:pPr>
            <w:r>
              <w:rPr>
                <w:b/>
              </w:rPr>
              <w:t>2,132</w:t>
            </w:r>
            <w:r w:rsidRPr="00114B3E">
              <w:rPr>
                <w:b/>
              </w:rPr>
              <w:t xml:space="preserve"> </w:t>
            </w:r>
          </w:p>
        </w:tc>
      </w:tr>
    </w:tbl>
    <w:p w:rsidR="00583ACC" w:rsidRPr="00977EDD" w:rsidRDefault="00583ACC" w:rsidP="00583ACC">
      <w:pPr>
        <w:rPr>
          <w:sz w:val="18"/>
        </w:rPr>
      </w:pPr>
      <w:r w:rsidRPr="00977EDD">
        <w:rPr>
          <w:sz w:val="18"/>
        </w:rPr>
        <w:t>Source: NSW FACS 2016</w:t>
      </w:r>
    </w:p>
    <w:p w:rsidR="00D14BF8" w:rsidRDefault="00D14BF8" w:rsidP="00D14BF8">
      <w:pPr>
        <w:pStyle w:val="Heading1"/>
        <w:keepLines/>
        <w:tabs>
          <w:tab w:val="clear" w:pos="851"/>
        </w:tabs>
        <w:spacing w:before="0" w:after="160"/>
        <w:contextualSpacing w:val="0"/>
      </w:pPr>
      <w:bookmarkStart w:id="112" w:name="_Toc465259719"/>
      <w:bookmarkStart w:id="113" w:name="_Toc467133523"/>
      <w:bookmarkStart w:id="114" w:name="_Toc465092217"/>
      <w:bookmarkEnd w:id="88"/>
      <w:bookmarkEnd w:id="89"/>
      <w:r>
        <w:lastRenderedPageBreak/>
        <w:t>Benefits</w:t>
      </w:r>
      <w:bookmarkEnd w:id="112"/>
      <w:bookmarkEnd w:id="113"/>
    </w:p>
    <w:p w:rsidR="00D14BF8" w:rsidRPr="00686B2C" w:rsidRDefault="00D14BF8" w:rsidP="00D14BF8">
      <w:r>
        <w:t xml:space="preserve">The measurable benefits of ALNSW and ELNSW are wide ranging, and include both social and economic benefits. </w:t>
      </w:r>
      <w:r w:rsidRPr="00686B2C">
        <w:t xml:space="preserve">ALNSW </w:t>
      </w:r>
      <w:r>
        <w:t>and ELNSW have</w:t>
      </w:r>
      <w:r w:rsidRPr="00686B2C">
        <w:t xml:space="preserve"> the potential to </w:t>
      </w:r>
      <w:r>
        <w:t>benefit</w:t>
      </w:r>
      <w:r w:rsidRPr="00686B2C">
        <w:t xml:space="preserve"> not only persons accessing the program, but their families and carers, and indeed the community as a whole.</w:t>
      </w:r>
    </w:p>
    <w:p w:rsidR="00D14BF8" w:rsidRPr="00686B2C" w:rsidRDefault="00D14BF8" w:rsidP="00D14BF8">
      <w:r w:rsidRPr="00686B2C">
        <w:t xml:space="preserve">A number of these benefits have clear and quantifiable economic </w:t>
      </w:r>
      <w:r>
        <w:t>benefits</w:t>
      </w:r>
      <w:r w:rsidRPr="00686B2C">
        <w:t xml:space="preserve">, for example increased participation in education and employment (including work experience and volunteering), new business activity, and increased consumer welfare for carers through a reduction in carer hours required. </w:t>
      </w:r>
    </w:p>
    <w:p w:rsidR="00D14BF8" w:rsidRDefault="00D14BF8" w:rsidP="00D14BF8">
      <w:r>
        <w:t>As noted in the 2015 study, however, t</w:t>
      </w:r>
      <w:r w:rsidRPr="00686B2C">
        <w:t>he natu</w:t>
      </w:r>
      <w:r>
        <w:t>re and aims of ALNSW</w:t>
      </w:r>
      <w:r w:rsidRPr="00686B2C">
        <w:t xml:space="preserve"> imply that the </w:t>
      </w:r>
      <w:r>
        <w:t>greater</w:t>
      </w:r>
      <w:r w:rsidRPr="00686B2C">
        <w:t xml:space="preserve"> number of benefits generated </w:t>
      </w:r>
      <w:r>
        <w:t>by</w:t>
      </w:r>
      <w:r w:rsidRPr="00686B2C">
        <w:t xml:space="preserve"> individuals will be social, for example improved self</w:t>
      </w:r>
      <w:r w:rsidRPr="00686B2C">
        <w:noBreakHyphen/>
        <w:t>esteem</w:t>
      </w:r>
      <w:r>
        <w:t>,</w:t>
      </w:r>
      <w:r w:rsidRPr="00686B2C">
        <w:t xml:space="preserve"> social</w:t>
      </w:r>
      <w:r>
        <w:t xml:space="preserve"> </w:t>
      </w:r>
      <w:r w:rsidRPr="00686B2C">
        <w:t xml:space="preserve">networks </w:t>
      </w:r>
      <w:r>
        <w:t>and family relationships (</w:t>
      </w:r>
      <w:r>
        <w:fldChar w:fldCharType="begin"/>
      </w:r>
      <w:r>
        <w:instrText xml:space="preserve"> REF _Ref459278817 \h </w:instrText>
      </w:r>
      <w:r>
        <w:fldChar w:fldCharType="separate"/>
      </w:r>
      <w:r w:rsidR="00770791" w:rsidRPr="003B7DC4">
        <w:t xml:space="preserve">Figure </w:t>
      </w:r>
      <w:r w:rsidR="00770791">
        <w:rPr>
          <w:noProof/>
        </w:rPr>
        <w:t>3</w:t>
      </w:r>
      <w:r w:rsidR="00770791" w:rsidRPr="003B7DC4">
        <w:noBreakHyphen/>
      </w:r>
      <w:r w:rsidR="00770791">
        <w:rPr>
          <w:noProof/>
        </w:rPr>
        <w:t>1</w:t>
      </w:r>
      <w:r>
        <w:fldChar w:fldCharType="end"/>
      </w:r>
      <w:r w:rsidRPr="00686B2C">
        <w:t>).</w:t>
      </w:r>
    </w:p>
    <w:p w:rsidR="00D14BF8" w:rsidRPr="003B7DC4" w:rsidRDefault="00D14BF8" w:rsidP="00D14BF8">
      <w:pPr>
        <w:pStyle w:val="Caption"/>
        <w:rPr>
          <w:sz w:val="20"/>
          <w:szCs w:val="20"/>
        </w:rPr>
      </w:pPr>
      <w:bookmarkStart w:id="115" w:name="_Ref459278817"/>
      <w:bookmarkStart w:id="116" w:name="_Toc466025126"/>
      <w:bookmarkStart w:id="117" w:name="_Toc467132539"/>
      <w:r w:rsidRPr="003B7DC4">
        <w:rPr>
          <w:sz w:val="20"/>
          <w:szCs w:val="20"/>
        </w:rPr>
        <w:t xml:space="preserve">Figure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3</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Figure \* ARABIC \s 1 </w:instrText>
      </w:r>
      <w:r w:rsidRPr="003B7DC4">
        <w:rPr>
          <w:sz w:val="20"/>
          <w:szCs w:val="20"/>
        </w:rPr>
        <w:fldChar w:fldCharType="separate"/>
      </w:r>
      <w:r w:rsidR="00770791">
        <w:rPr>
          <w:noProof/>
          <w:sz w:val="20"/>
          <w:szCs w:val="20"/>
        </w:rPr>
        <w:t>1</w:t>
      </w:r>
      <w:r w:rsidRPr="003B7DC4">
        <w:rPr>
          <w:noProof/>
          <w:sz w:val="20"/>
          <w:szCs w:val="20"/>
        </w:rPr>
        <w:fldChar w:fldCharType="end"/>
      </w:r>
      <w:bookmarkEnd w:id="115"/>
      <w:r w:rsidRPr="003B7DC4">
        <w:rPr>
          <w:sz w:val="20"/>
          <w:szCs w:val="20"/>
        </w:rPr>
        <w:t xml:space="preserve"> – ALNSW outcomes map</w:t>
      </w:r>
      <w:bookmarkEnd w:id="116"/>
      <w:bookmarkEnd w:id="117"/>
    </w:p>
    <w:p w:rsidR="00D14BF8" w:rsidRPr="00686B2C" w:rsidRDefault="007365C3" w:rsidP="00D14BF8">
      <w:pPr>
        <w:pStyle w:val="Caption"/>
        <w:jc w:val="center"/>
      </w:pPr>
      <w:r>
        <w:rPr>
          <w:noProof/>
          <w:lang w:eastAsia="en-AU"/>
        </w:rPr>
        <w:drawing>
          <wp:inline distT="0" distB="0" distL="0" distR="0" wp14:anchorId="461C0399" wp14:editId="3BC2D6A1">
            <wp:extent cx="3925832" cy="3928880"/>
            <wp:effectExtent l="0" t="0" r="0" b="0"/>
            <wp:docPr id="1" name="Picture 1" descr="Refer to link to text description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20213-Outcome infographic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25832" cy="3928880"/>
                    </a:xfrm>
                    <a:prstGeom prst="rect">
                      <a:avLst/>
                    </a:prstGeom>
                  </pic:spPr>
                </pic:pic>
              </a:graphicData>
            </a:graphic>
          </wp:inline>
        </w:drawing>
      </w:r>
    </w:p>
    <w:p w:rsidR="00AB792F" w:rsidRDefault="00101D10" w:rsidP="00D14BF8">
      <w:hyperlink w:anchor="Fig_4_1_text" w:history="1">
        <w:r w:rsidR="00DB7445" w:rsidRPr="001F0CBC">
          <w:rPr>
            <w:rStyle w:val="Hyperlink"/>
          </w:rPr>
          <w:t xml:space="preserve">Text description for Figure </w:t>
        </w:r>
        <w:r w:rsidR="00770791">
          <w:rPr>
            <w:rStyle w:val="Hyperlink"/>
          </w:rPr>
          <w:t>3</w:t>
        </w:r>
        <w:r w:rsidR="00DB7445" w:rsidRPr="001F0CBC">
          <w:rPr>
            <w:rStyle w:val="Hyperlink"/>
          </w:rPr>
          <w:t>-1 – ALN</w:t>
        </w:r>
        <w:r w:rsidR="002879C2">
          <w:rPr>
            <w:rStyle w:val="Hyperlink"/>
          </w:rPr>
          <w:t>SW o</w:t>
        </w:r>
        <w:r w:rsidR="00DB7445" w:rsidRPr="001F0CBC">
          <w:rPr>
            <w:rStyle w:val="Hyperlink"/>
          </w:rPr>
          <w:t xml:space="preserve">utcomes </w:t>
        </w:r>
        <w:r w:rsidR="002879C2">
          <w:rPr>
            <w:rStyle w:val="Hyperlink"/>
          </w:rPr>
          <w:t>m</w:t>
        </w:r>
        <w:r w:rsidR="00DB7445" w:rsidRPr="001F0CBC">
          <w:rPr>
            <w:rStyle w:val="Hyperlink"/>
          </w:rPr>
          <w:t>ap</w:t>
        </w:r>
      </w:hyperlink>
    </w:p>
    <w:p w:rsidR="00D14BF8" w:rsidRDefault="00D14BF8" w:rsidP="00D14BF8">
      <w:bookmarkStart w:id="118" w:name="Fig_4_1_back_to_text"/>
      <w:bookmarkEnd w:id="118"/>
      <w:r w:rsidRPr="00686B2C">
        <w:t>Notwithstanding that these outcomes may appear less tangible they are no less real and important,</w:t>
      </w:r>
      <w:r>
        <w:t xml:space="preserve"> generating significant social benefits</w:t>
      </w:r>
      <w:r w:rsidRPr="00686B2C">
        <w:t xml:space="preserve">. In the past, such benefits have typically been discussed qualitatively. The advancement of Social </w:t>
      </w:r>
      <w:r>
        <w:t>CBA</w:t>
      </w:r>
      <w:r w:rsidRPr="00686B2C">
        <w:t xml:space="preserve">, however, allows a monetary value to be placed on the </w:t>
      </w:r>
      <w:r>
        <w:t>social</w:t>
      </w:r>
      <w:r w:rsidRPr="00686B2C">
        <w:t xml:space="preserve"> </w:t>
      </w:r>
      <w:r>
        <w:t>benefits</w:t>
      </w:r>
      <w:r w:rsidRPr="00686B2C">
        <w:t xml:space="preserve"> that result from programs such as ALNSW, through the use of financial proxies.</w:t>
      </w:r>
    </w:p>
    <w:p w:rsidR="00D14BF8" w:rsidRDefault="00D14BF8" w:rsidP="00D14BF8">
      <w:r>
        <w:t>Urbis has taken a conservative approach and assumed that the majority of benefits endure for just one year. The exception are two employment outcomes –</w:t>
      </w:r>
      <w:r w:rsidRPr="00DB7445">
        <w:rPr>
          <w:b/>
        </w:rPr>
        <w:t xml:space="preserve"> assistance negotiating/liaising with employers to secure employment and connecting with disability employment services</w:t>
      </w:r>
      <w:r>
        <w:rPr>
          <w:i/>
        </w:rPr>
        <w:t xml:space="preserve"> – </w:t>
      </w:r>
      <w:r>
        <w:t xml:space="preserve">both of which are assumed to have longer lasting benefits that come from securing employment, and one education outcome – </w:t>
      </w:r>
      <w:r w:rsidRPr="00DB7445">
        <w:rPr>
          <w:b/>
        </w:rPr>
        <w:t>assistance identifying/connecting to TAFE/University courses.</w:t>
      </w:r>
      <w:r>
        <w:t xml:space="preserve"> The employment outcomes are valued over a 10-year period, while the education outcome is valued over a lifetime.</w:t>
      </w:r>
    </w:p>
    <w:p w:rsidR="00D14BF8" w:rsidRDefault="00D14BF8" w:rsidP="00D14BF8">
      <w:r>
        <w:t>In order to compare benefits that accrue over one year with benefits that accrue over 10 years, all benefits are presented as a Net Present Value (NPV), which presents the value of future years’ activity in today’s dollars.</w:t>
      </w:r>
    </w:p>
    <w:p w:rsidR="00D14BF8" w:rsidRPr="003B7DC4" w:rsidRDefault="00D14BF8" w:rsidP="00D14BF8">
      <w:pPr>
        <w:pStyle w:val="Heading2"/>
        <w:tabs>
          <w:tab w:val="clear" w:pos="851"/>
        </w:tabs>
        <w:spacing w:before="360"/>
        <w:rPr>
          <w:iCs w:val="0"/>
        </w:rPr>
      </w:pPr>
      <w:bookmarkStart w:id="119" w:name="_Toc465259720"/>
      <w:bookmarkStart w:id="120" w:name="_Toc467133524"/>
      <w:r w:rsidRPr="003B7DC4">
        <w:rPr>
          <w:iCs w:val="0"/>
        </w:rPr>
        <w:lastRenderedPageBreak/>
        <w:t>Attributing benefits to outcomes</w:t>
      </w:r>
      <w:bookmarkEnd w:id="119"/>
      <w:bookmarkEnd w:id="120"/>
    </w:p>
    <w:p w:rsidR="00D14BF8" w:rsidRDefault="00D14BF8" w:rsidP="00D14BF8">
      <w:r>
        <w:t>The following section details the assumptions used to estimate the value and attribution of benefits resulting from NSW FACS outcomes. Each outcome,</w:t>
      </w:r>
      <w:r w:rsidRPr="00D820E2">
        <w:t xml:space="preserve"> </w:t>
      </w:r>
      <w:r>
        <w:t>whether recorded via NSW FACS outcomes data or identified from other sources, is assigned one or more benefits. Benefits can also be attributed to more than one outcome.</w:t>
      </w:r>
    </w:p>
    <w:p w:rsidR="00D14BF8" w:rsidRDefault="00D14BF8" w:rsidP="00D14BF8">
      <w:r>
        <w:t>As the outcomes provided by NSW FACS were not always specific enough to attribute benefits, assumptions were required, including on the size and attribution of benefits resulting from outcomes. Assumptions were drawn from the Urbis survey, interview transcripts and relevant literature.</w:t>
      </w:r>
    </w:p>
    <w:p w:rsidR="00D14BF8" w:rsidRDefault="00D14BF8" w:rsidP="00D14BF8">
      <w:r>
        <w:t>Only individual benefits have been modelled, as the detail of community outcomes recorded were not sufficient to accurately estimate benefits.</w:t>
      </w:r>
    </w:p>
    <w:p w:rsidR="00D14BF8" w:rsidRDefault="00D14BF8" w:rsidP="00D14BF8">
      <w:r>
        <w:t xml:space="preserve">The values assigned to benefits are detailed in Section </w:t>
      </w:r>
      <w:r>
        <w:fldChar w:fldCharType="begin"/>
      </w:r>
      <w:r>
        <w:instrText xml:space="preserve"> REF _Ref459026138 \r \h </w:instrText>
      </w:r>
      <w:r>
        <w:fldChar w:fldCharType="separate"/>
      </w:r>
      <w:r w:rsidR="00770791">
        <w:t>3.1.1</w:t>
      </w:r>
      <w:r>
        <w:fldChar w:fldCharType="end"/>
      </w:r>
      <w:r>
        <w:t>. Attribution rates for certain benefits are detailed in Section</w:t>
      </w:r>
      <w:r w:rsidR="00CB2E79">
        <w:t xml:space="preserve"> </w:t>
      </w:r>
      <w:r>
        <w:fldChar w:fldCharType="begin"/>
      </w:r>
      <w:r>
        <w:instrText xml:space="preserve"> REF _Ref459204619 \r \h </w:instrText>
      </w:r>
      <w:r>
        <w:fldChar w:fldCharType="separate"/>
      </w:r>
      <w:r w:rsidR="00770791">
        <w:t>3.1.2</w:t>
      </w:r>
      <w:r>
        <w:fldChar w:fldCharType="end"/>
      </w:r>
      <w:r>
        <w:t>.</w:t>
      </w:r>
    </w:p>
    <w:p w:rsidR="00D14BF8" w:rsidRPr="003B7DC4" w:rsidRDefault="00D14BF8" w:rsidP="00D14BF8">
      <w:pPr>
        <w:pStyle w:val="Heading3"/>
        <w:spacing w:before="0" w:after="80"/>
        <w:rPr>
          <w:color w:val="595959"/>
        </w:rPr>
      </w:pPr>
      <w:bookmarkStart w:id="121" w:name="_Ref459026138"/>
      <w:bookmarkStart w:id="122" w:name="_Toc465259721"/>
      <w:bookmarkStart w:id="123" w:name="_Toc467133525"/>
      <w:r w:rsidRPr="003B7DC4">
        <w:rPr>
          <w:color w:val="595959"/>
        </w:rPr>
        <w:t>Values assigned to benefits</w:t>
      </w:r>
      <w:bookmarkEnd w:id="121"/>
      <w:bookmarkEnd w:id="122"/>
      <w:bookmarkEnd w:id="123"/>
      <w:r w:rsidRPr="003B7DC4">
        <w:rPr>
          <w:color w:val="595959"/>
        </w:rPr>
        <w:t xml:space="preserve"> </w:t>
      </w:r>
    </w:p>
    <w:p w:rsidR="00D14BF8" w:rsidRDefault="00D14BF8" w:rsidP="00D14BF8">
      <w:r>
        <w:t xml:space="preserve">Benefits were assigned to the outcomes provided by NSW FACS, detailed in Section </w:t>
      </w:r>
      <w:r>
        <w:fldChar w:fldCharType="begin"/>
      </w:r>
      <w:r>
        <w:instrText xml:space="preserve"> REF _Ref460335866 \r \h </w:instrText>
      </w:r>
      <w:r>
        <w:fldChar w:fldCharType="separate"/>
      </w:r>
      <w:r>
        <w:t>2</w:t>
      </w:r>
      <w:r>
        <w:fldChar w:fldCharType="end"/>
      </w:r>
      <w:r>
        <w:t xml:space="preserve">, and to additional outcomes drawn from the survey and interview transcripts. Assigned benefits are based on those used in the 2015 Urbis report where applicable, updated to 2016 values. For details on sources used to derive the value of benefits, </w:t>
      </w:r>
      <w:r w:rsidR="00963F4C">
        <w:t>refer to</w:t>
      </w:r>
      <w:r>
        <w:t xml:space="preserve"> Appendix B.</w:t>
      </w:r>
    </w:p>
    <w:p w:rsidR="00D14BF8" w:rsidRDefault="00D14BF8" w:rsidP="00D14BF8">
      <w:r>
        <w:fldChar w:fldCharType="begin"/>
      </w:r>
      <w:r>
        <w:instrText xml:space="preserve"> REF _Ref459037972 \h </w:instrText>
      </w:r>
      <w:r>
        <w:fldChar w:fldCharType="separate"/>
      </w:r>
      <w:r w:rsidR="00770791" w:rsidRPr="003B7DC4">
        <w:t xml:space="preserve">Table </w:t>
      </w:r>
      <w:r w:rsidR="00770791">
        <w:rPr>
          <w:noProof/>
        </w:rPr>
        <w:t>3</w:t>
      </w:r>
      <w:r w:rsidR="00770791" w:rsidRPr="003B7DC4">
        <w:noBreakHyphen/>
      </w:r>
      <w:r w:rsidR="00770791">
        <w:rPr>
          <w:noProof/>
        </w:rPr>
        <w:t>1</w:t>
      </w:r>
      <w:r>
        <w:fldChar w:fldCharType="end"/>
      </w:r>
      <w:r>
        <w:t xml:space="preserve"> details the economic benefits associated with ALNSW and ELNSW, the annual value of benefits, and applicable outcomes.</w:t>
      </w:r>
    </w:p>
    <w:p w:rsidR="00D14BF8" w:rsidRPr="003B7DC4" w:rsidRDefault="00D14BF8" w:rsidP="00D14BF8">
      <w:pPr>
        <w:pStyle w:val="Caption"/>
        <w:rPr>
          <w:sz w:val="20"/>
          <w:szCs w:val="20"/>
        </w:rPr>
      </w:pPr>
      <w:bookmarkStart w:id="124" w:name="_Ref459037972"/>
      <w:bookmarkStart w:id="125" w:name="_Toc466025148"/>
      <w:bookmarkStart w:id="126" w:name="_Toc467137551"/>
      <w:r w:rsidRPr="003B7DC4">
        <w:rPr>
          <w:sz w:val="20"/>
          <w:szCs w:val="20"/>
        </w:rPr>
        <w:t xml:space="preserve">Table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3</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1</w:t>
      </w:r>
      <w:r w:rsidRPr="003B7DC4">
        <w:rPr>
          <w:noProof/>
          <w:sz w:val="20"/>
          <w:szCs w:val="20"/>
        </w:rPr>
        <w:fldChar w:fldCharType="end"/>
      </w:r>
      <w:bookmarkEnd w:id="124"/>
      <w:r w:rsidRPr="003B7DC4">
        <w:rPr>
          <w:sz w:val="20"/>
          <w:szCs w:val="20"/>
        </w:rPr>
        <w:t xml:space="preserve"> – Economic benefits assigned to outcomes</w:t>
      </w:r>
      <w:bookmarkEnd w:id="125"/>
      <w:bookmarkEnd w:id="126"/>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Description w:val="Details on the value and outcomes for each economic benefit."/>
      </w:tblPr>
      <w:tblGrid>
        <w:gridCol w:w="2547"/>
        <w:gridCol w:w="2693"/>
        <w:gridCol w:w="4388"/>
      </w:tblGrid>
      <w:tr w:rsidR="003B7DC4" w:rsidRPr="003B7DC4" w:rsidTr="00FF6C1C">
        <w:trPr>
          <w:cnfStyle w:val="100000000000" w:firstRow="1" w:lastRow="0" w:firstColumn="0" w:lastColumn="0" w:oddVBand="0" w:evenVBand="0" w:oddHBand="0" w:evenHBand="0" w:firstRowFirstColumn="0" w:firstRowLastColumn="0" w:lastRowFirstColumn="0" w:lastRowLastColumn="0"/>
          <w:tblHeader/>
        </w:trPr>
        <w:tc>
          <w:tcPr>
            <w:tcW w:w="254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bookmarkStart w:id="127" w:name="ColumnTitle_Table4_1"/>
            <w:bookmarkEnd w:id="127"/>
            <w:r w:rsidRPr="003B7DC4">
              <w:rPr>
                <w:b/>
                <w:color w:val="auto"/>
              </w:rPr>
              <w:t>Benefit</w:t>
            </w:r>
          </w:p>
        </w:tc>
        <w:tc>
          <w:tcPr>
            <w:tcW w:w="269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r w:rsidRPr="003B7DC4">
              <w:rPr>
                <w:b/>
                <w:color w:val="auto"/>
              </w:rPr>
              <w:t>Value</w:t>
            </w:r>
          </w:p>
        </w:tc>
        <w:tc>
          <w:tcPr>
            <w:tcW w:w="438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r w:rsidRPr="003B7DC4">
              <w:rPr>
                <w:b/>
                <w:color w:val="auto"/>
              </w:rPr>
              <w:t>Applicable Outcomes</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2547" w:type="dxa"/>
            <w:tcBorders>
              <w:top w:val="single" w:sz="18" w:space="0" w:color="808080" w:themeColor="background1" w:themeShade="80"/>
            </w:tcBorders>
            <w:shd w:val="clear" w:color="auto" w:fill="auto"/>
            <w:vAlign w:val="top"/>
          </w:tcPr>
          <w:p w:rsidR="00D14BF8" w:rsidRDefault="00D14BF8" w:rsidP="00D14BF8">
            <w:pPr>
              <w:spacing w:after="60"/>
            </w:pPr>
            <w:r>
              <w:t>Small business/entrepreneurial/grants information</w:t>
            </w:r>
          </w:p>
        </w:tc>
        <w:tc>
          <w:tcPr>
            <w:tcW w:w="2693" w:type="dxa"/>
            <w:tcBorders>
              <w:top w:val="single" w:sz="18" w:space="0" w:color="808080" w:themeColor="background1" w:themeShade="80"/>
            </w:tcBorders>
            <w:shd w:val="clear" w:color="auto" w:fill="auto"/>
            <w:vAlign w:val="top"/>
          </w:tcPr>
          <w:p w:rsidR="00D14BF8" w:rsidRDefault="00D14BF8" w:rsidP="00D14BF8">
            <w:pPr>
              <w:spacing w:after="60"/>
            </w:pPr>
            <w:r>
              <w:t xml:space="preserve">Total cost for 4 advisory sessions of 1 hour with NSW small business connect program – first 2 sessions free, following 2 $50 each. </w:t>
            </w:r>
          </w:p>
          <w:p w:rsidR="00D14BF8" w:rsidRDefault="00D14BF8" w:rsidP="00D14BF8">
            <w:pPr>
              <w:spacing w:after="60"/>
            </w:pPr>
            <w:r>
              <w:t>Annual value: $100</w:t>
            </w:r>
          </w:p>
        </w:tc>
        <w:tc>
          <w:tcPr>
            <w:tcW w:w="4388" w:type="dxa"/>
            <w:tcBorders>
              <w:top w:val="single" w:sz="18" w:space="0" w:color="808080" w:themeColor="background1" w:themeShade="80"/>
            </w:tcBorders>
            <w:shd w:val="clear" w:color="auto" w:fill="auto"/>
            <w:vAlign w:val="top"/>
          </w:tcPr>
          <w:p w:rsidR="00D14BF8" w:rsidRPr="00B62140" w:rsidRDefault="00D14BF8" w:rsidP="003B7DC4">
            <w:pPr>
              <w:pStyle w:val="UrbisTableBullet"/>
              <w:spacing w:before="60" w:after="60" w:line="240" w:lineRule="auto"/>
              <w:ind w:left="289" w:hanging="227"/>
            </w:pPr>
            <w:r w:rsidRPr="00B62140">
              <w:t>Small business/entrepreneurial advice/grants information</w:t>
            </w:r>
          </w:p>
        </w:tc>
      </w:tr>
      <w:tr w:rsidR="00D14BF8" w:rsidTr="00FF6C1C">
        <w:tc>
          <w:tcPr>
            <w:tcW w:w="2547" w:type="dxa"/>
            <w:vAlign w:val="top"/>
          </w:tcPr>
          <w:p w:rsidR="00D14BF8" w:rsidRDefault="00D14BF8" w:rsidP="00D14BF8">
            <w:pPr>
              <w:spacing w:after="60"/>
            </w:pPr>
            <w:r>
              <w:t>Skills development support</w:t>
            </w:r>
          </w:p>
        </w:tc>
        <w:tc>
          <w:tcPr>
            <w:tcW w:w="2693" w:type="dxa"/>
            <w:vAlign w:val="top"/>
          </w:tcPr>
          <w:p w:rsidR="00D14BF8" w:rsidRDefault="00D14BF8" w:rsidP="00D14BF8">
            <w:pPr>
              <w:spacing w:after="60"/>
            </w:pPr>
            <w:r>
              <w:t>Based on average commercial fee for preparing resume.</w:t>
            </w:r>
          </w:p>
          <w:p w:rsidR="00D14BF8" w:rsidRDefault="00D14BF8" w:rsidP="00D14BF8">
            <w:pPr>
              <w:spacing w:after="60"/>
            </w:pPr>
            <w:r>
              <w:t>Annual value: $100</w:t>
            </w:r>
          </w:p>
        </w:tc>
        <w:tc>
          <w:tcPr>
            <w:tcW w:w="4388" w:type="dxa"/>
            <w:vAlign w:val="top"/>
          </w:tcPr>
          <w:p w:rsidR="00D14BF8" w:rsidRPr="00B62140" w:rsidRDefault="00D14BF8" w:rsidP="003B7DC4">
            <w:pPr>
              <w:pStyle w:val="UrbisTableBullet"/>
              <w:spacing w:before="60" w:after="60" w:line="240" w:lineRule="auto"/>
              <w:ind w:left="289" w:hanging="227"/>
            </w:pPr>
            <w:r w:rsidRPr="00B62140">
              <w:t>Skills development support</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vAlign w:val="top"/>
          </w:tcPr>
          <w:p w:rsidR="00D14BF8" w:rsidRDefault="00D14BF8" w:rsidP="00D14BF8">
            <w:pPr>
              <w:spacing w:after="60"/>
            </w:pPr>
            <w:r>
              <w:t>Paid employment – 15 hrs per week</w:t>
            </w:r>
          </w:p>
        </w:tc>
        <w:tc>
          <w:tcPr>
            <w:tcW w:w="2693" w:type="dxa"/>
            <w:shd w:val="clear" w:color="auto" w:fill="auto"/>
            <w:vAlign w:val="top"/>
          </w:tcPr>
          <w:p w:rsidR="00D14BF8" w:rsidRDefault="00D14BF8" w:rsidP="00D14BF8">
            <w:pPr>
              <w:spacing w:after="60"/>
            </w:pPr>
            <w:r>
              <w:t>Average hourly earnings of $29.46 for 15 hrs a week, 46 weeks a year</w:t>
            </w:r>
          </w:p>
          <w:p w:rsidR="00D14BF8" w:rsidRDefault="00D14BF8" w:rsidP="00D14BF8">
            <w:pPr>
              <w:spacing w:after="60"/>
            </w:pPr>
            <w:r>
              <w:t>Annual value: $20,324</w:t>
            </w:r>
          </w:p>
        </w:tc>
        <w:tc>
          <w:tcPr>
            <w:tcW w:w="4388" w:type="dxa"/>
            <w:shd w:val="clear" w:color="auto" w:fill="auto"/>
            <w:vAlign w:val="top"/>
          </w:tcPr>
          <w:p w:rsidR="00D14BF8" w:rsidRDefault="00D14BF8" w:rsidP="003B7DC4">
            <w:pPr>
              <w:pStyle w:val="UrbisTableBullet"/>
              <w:spacing w:before="60" w:after="60" w:line="240" w:lineRule="auto"/>
              <w:ind w:left="289" w:hanging="227"/>
            </w:pPr>
            <w:r>
              <w:t xml:space="preserve">For the outcome </w:t>
            </w:r>
            <w:r w:rsidRPr="00C818D9">
              <w:rPr>
                <w:i/>
              </w:rPr>
              <w:t>assistance negotiating/liaising with employer to secure employment</w:t>
            </w:r>
            <w:r>
              <w:t xml:space="preserve"> only applies to the 20% who got a job</w:t>
            </w:r>
          </w:p>
          <w:p w:rsidR="00D14BF8" w:rsidRPr="00FF4F95" w:rsidRDefault="00D14BF8" w:rsidP="003B7DC4">
            <w:pPr>
              <w:pStyle w:val="UrbisTableBullet"/>
              <w:spacing w:before="60" w:after="60" w:line="240" w:lineRule="auto"/>
              <w:ind w:left="289" w:hanging="227"/>
            </w:pPr>
            <w:r>
              <w:t xml:space="preserve">For the outcome </w:t>
            </w:r>
            <w:r w:rsidRPr="00C818D9">
              <w:rPr>
                <w:i/>
              </w:rPr>
              <w:t>connecting with disability employment services</w:t>
            </w:r>
            <w:r>
              <w:t xml:space="preserve"> only applies to the 26.1% who got a job</w:t>
            </w:r>
          </w:p>
        </w:tc>
      </w:tr>
      <w:tr w:rsidR="00D14BF8" w:rsidTr="00FF6C1C">
        <w:tc>
          <w:tcPr>
            <w:tcW w:w="2547" w:type="dxa"/>
            <w:vAlign w:val="top"/>
          </w:tcPr>
          <w:p w:rsidR="00D14BF8" w:rsidRDefault="00D14BF8" w:rsidP="00D14BF8">
            <w:pPr>
              <w:spacing w:after="60"/>
            </w:pPr>
            <w:r>
              <w:t>Work experience - 15 hrs per week</w:t>
            </w:r>
          </w:p>
        </w:tc>
        <w:tc>
          <w:tcPr>
            <w:tcW w:w="2693" w:type="dxa"/>
            <w:vAlign w:val="top"/>
          </w:tcPr>
          <w:p w:rsidR="00D14BF8" w:rsidRDefault="00D14BF8" w:rsidP="00D14BF8">
            <w:pPr>
              <w:spacing w:after="60"/>
            </w:pPr>
            <w:r>
              <w:t>Using minimum wage of $17.29 for 15 hours a week, 46 weeks a year</w:t>
            </w:r>
          </w:p>
          <w:p w:rsidR="00D14BF8" w:rsidRDefault="00D14BF8" w:rsidP="00D14BF8">
            <w:pPr>
              <w:spacing w:after="60"/>
            </w:pPr>
            <w:r>
              <w:t>Annual value: $11,930</w:t>
            </w:r>
          </w:p>
        </w:tc>
        <w:tc>
          <w:tcPr>
            <w:tcW w:w="4388" w:type="dxa"/>
            <w:vAlign w:val="top"/>
          </w:tcPr>
          <w:p w:rsidR="00D14BF8" w:rsidRPr="00FF4F95" w:rsidRDefault="00D14BF8" w:rsidP="003B7DC4">
            <w:pPr>
              <w:pStyle w:val="UrbisTableBullet"/>
              <w:spacing w:before="60" w:after="60" w:line="240" w:lineRule="auto"/>
              <w:ind w:left="289" w:hanging="227"/>
            </w:pPr>
            <w:r>
              <w:t>Work experience</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vAlign w:val="top"/>
          </w:tcPr>
          <w:p w:rsidR="00D14BF8" w:rsidRDefault="00D14BF8" w:rsidP="00D14BF8">
            <w:pPr>
              <w:spacing w:after="60"/>
            </w:pPr>
            <w:r>
              <w:t>Volunteering – 2 hrs per week</w:t>
            </w:r>
          </w:p>
        </w:tc>
        <w:tc>
          <w:tcPr>
            <w:tcW w:w="2693" w:type="dxa"/>
            <w:shd w:val="clear" w:color="auto" w:fill="auto"/>
            <w:vAlign w:val="top"/>
          </w:tcPr>
          <w:p w:rsidR="00D14BF8" w:rsidRDefault="00D14BF8" w:rsidP="00D14BF8">
            <w:pPr>
              <w:spacing w:after="60"/>
            </w:pPr>
            <w:r>
              <w:t>Using minimum wage of $17.29 for 2 hours a week, 46 weeks a year</w:t>
            </w:r>
          </w:p>
          <w:p w:rsidR="00D14BF8" w:rsidRDefault="00D14BF8" w:rsidP="00D14BF8">
            <w:pPr>
              <w:spacing w:after="60"/>
            </w:pPr>
            <w:r>
              <w:t>Annual value: $1,591</w:t>
            </w:r>
          </w:p>
        </w:tc>
        <w:tc>
          <w:tcPr>
            <w:tcW w:w="4388" w:type="dxa"/>
            <w:shd w:val="clear" w:color="auto" w:fill="auto"/>
            <w:vAlign w:val="top"/>
          </w:tcPr>
          <w:p w:rsidR="00D14BF8" w:rsidRPr="00FF4F95" w:rsidRDefault="00D14BF8" w:rsidP="003B7DC4">
            <w:pPr>
              <w:pStyle w:val="UrbisTableBullet"/>
              <w:spacing w:before="60" w:after="60" w:line="240" w:lineRule="auto"/>
              <w:ind w:left="289" w:hanging="227"/>
            </w:pPr>
            <w:r>
              <w:t>Volunteering</w:t>
            </w:r>
          </w:p>
        </w:tc>
      </w:tr>
      <w:tr w:rsidR="00D14BF8" w:rsidTr="00FF6C1C">
        <w:tc>
          <w:tcPr>
            <w:tcW w:w="2547" w:type="dxa"/>
            <w:vAlign w:val="top"/>
          </w:tcPr>
          <w:p w:rsidR="00D14BF8" w:rsidRDefault="00D14BF8" w:rsidP="00D14BF8">
            <w:pPr>
              <w:spacing w:after="60"/>
            </w:pPr>
            <w:r>
              <w:lastRenderedPageBreak/>
              <w:t>Incremental increase in lifetime earnings from completing TAFE course</w:t>
            </w:r>
          </w:p>
        </w:tc>
        <w:tc>
          <w:tcPr>
            <w:tcW w:w="2693" w:type="dxa"/>
            <w:vAlign w:val="top"/>
          </w:tcPr>
          <w:p w:rsidR="00D14BF8" w:rsidRDefault="00D14BF8" w:rsidP="00D14BF8">
            <w:pPr>
              <w:spacing w:after="60"/>
            </w:pPr>
            <w:r>
              <w:t>Assume completing TAFE only (not University). Difference in lifetime earnings for someone who has completed TAFE over someone who has completed Year 12: $20,000</w:t>
            </w:r>
          </w:p>
        </w:tc>
        <w:tc>
          <w:tcPr>
            <w:tcW w:w="4388" w:type="dxa"/>
            <w:vAlign w:val="top"/>
          </w:tcPr>
          <w:p w:rsidR="00D14BF8" w:rsidRPr="00E43F7C" w:rsidRDefault="00D14BF8" w:rsidP="00D14BF8">
            <w:pPr>
              <w:pStyle w:val="UrbisTableBullet"/>
              <w:spacing w:before="60" w:after="60" w:line="240" w:lineRule="auto"/>
              <w:ind w:left="340" w:hanging="227"/>
            </w:pPr>
            <w:r>
              <w:t xml:space="preserve">Applies to 49% of those who had </w:t>
            </w:r>
            <w:r w:rsidRPr="00C818D9">
              <w:t>assistance identifying/connecting to TAFE/University courses</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vAlign w:val="top"/>
          </w:tcPr>
          <w:p w:rsidR="00D14BF8" w:rsidRDefault="00D14BF8" w:rsidP="00D14BF8">
            <w:pPr>
              <w:spacing w:after="60"/>
            </w:pPr>
            <w:r>
              <w:t>Economic value of training activity</w:t>
            </w:r>
          </w:p>
        </w:tc>
        <w:tc>
          <w:tcPr>
            <w:tcW w:w="2693" w:type="dxa"/>
            <w:shd w:val="clear" w:color="auto" w:fill="auto"/>
            <w:vAlign w:val="top"/>
          </w:tcPr>
          <w:p w:rsidR="00D14BF8" w:rsidRDefault="00D14BF8" w:rsidP="00D14BF8">
            <w:pPr>
              <w:spacing w:after="60"/>
            </w:pPr>
            <w:r>
              <w:t>Valued at cost of one-day introductory computing course: $329</w:t>
            </w:r>
          </w:p>
        </w:tc>
        <w:tc>
          <w:tcPr>
            <w:tcW w:w="4388" w:type="dxa"/>
            <w:shd w:val="clear" w:color="auto" w:fill="auto"/>
            <w:vAlign w:val="top"/>
          </w:tcPr>
          <w:p w:rsidR="00D14BF8" w:rsidRPr="00080E76" w:rsidRDefault="00D14BF8" w:rsidP="00D14BF8">
            <w:pPr>
              <w:pStyle w:val="UrbisTableBullet"/>
              <w:spacing w:before="60" w:after="60" w:line="240" w:lineRule="auto"/>
              <w:ind w:left="340" w:hanging="227"/>
            </w:pPr>
            <w:r>
              <w:t xml:space="preserve">Applies to 64% of those who achieved the outcome of </w:t>
            </w:r>
            <w:r w:rsidRPr="00C818D9">
              <w:t>training activities related to employment</w:t>
            </w:r>
          </w:p>
        </w:tc>
      </w:tr>
      <w:tr w:rsidR="00D14BF8" w:rsidTr="00FF6C1C">
        <w:tc>
          <w:tcPr>
            <w:tcW w:w="2547" w:type="dxa"/>
            <w:vAlign w:val="top"/>
          </w:tcPr>
          <w:p w:rsidR="00D14BF8" w:rsidRDefault="00D14BF8" w:rsidP="00D14BF8">
            <w:pPr>
              <w:spacing w:after="60"/>
            </w:pPr>
            <w:r>
              <w:t>Reduction in search costs</w:t>
            </w:r>
          </w:p>
        </w:tc>
        <w:tc>
          <w:tcPr>
            <w:tcW w:w="2693" w:type="dxa"/>
            <w:vAlign w:val="top"/>
          </w:tcPr>
          <w:p w:rsidR="00D14BF8" w:rsidRDefault="00D14BF8" w:rsidP="00D14BF8">
            <w:pPr>
              <w:spacing w:after="60"/>
            </w:pPr>
            <w:r>
              <w:t>Valued at minimum wage of $17.29 for 1 hour per week</w:t>
            </w:r>
          </w:p>
          <w:p w:rsidR="00D14BF8" w:rsidRDefault="00D14BF8" w:rsidP="00D14BF8">
            <w:pPr>
              <w:spacing w:after="60"/>
            </w:pPr>
            <w:r>
              <w:t>Annual value: $795</w:t>
            </w:r>
          </w:p>
        </w:tc>
        <w:tc>
          <w:tcPr>
            <w:tcW w:w="4388" w:type="dxa"/>
            <w:vAlign w:val="top"/>
          </w:tcPr>
          <w:p w:rsidR="00D14BF8" w:rsidRPr="00EC747A" w:rsidRDefault="00D14BF8" w:rsidP="00D14BF8">
            <w:pPr>
              <w:pStyle w:val="UrbisTableBullet"/>
              <w:spacing w:before="60" w:after="60" w:line="240" w:lineRule="auto"/>
              <w:ind w:left="340" w:hanging="227"/>
            </w:pPr>
            <w:r>
              <w:t>All service engagement outcomes</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vAlign w:val="top"/>
          </w:tcPr>
          <w:p w:rsidR="00D14BF8" w:rsidRDefault="00D14BF8" w:rsidP="00D14BF8">
            <w:pPr>
              <w:spacing w:after="60"/>
            </w:pPr>
            <w:r>
              <w:t>Increase in consumer welfare</w:t>
            </w:r>
          </w:p>
        </w:tc>
        <w:tc>
          <w:tcPr>
            <w:tcW w:w="2693" w:type="dxa"/>
            <w:shd w:val="clear" w:color="auto" w:fill="auto"/>
            <w:vAlign w:val="top"/>
          </w:tcPr>
          <w:p w:rsidR="00D14BF8" w:rsidRDefault="00D14BF8" w:rsidP="00D14BF8">
            <w:pPr>
              <w:spacing w:after="60"/>
            </w:pPr>
            <w:r>
              <w:t>Valued at average hourly earnings of $29.46 for 4 hours per week</w:t>
            </w:r>
          </w:p>
          <w:p w:rsidR="00D14BF8" w:rsidRDefault="00D14BF8" w:rsidP="00D14BF8">
            <w:pPr>
              <w:spacing w:after="60"/>
            </w:pPr>
            <w:r>
              <w:t>Annual value: $5,421</w:t>
            </w:r>
          </w:p>
        </w:tc>
        <w:tc>
          <w:tcPr>
            <w:tcW w:w="4388" w:type="dxa"/>
            <w:shd w:val="clear" w:color="auto" w:fill="auto"/>
            <w:vAlign w:val="top"/>
          </w:tcPr>
          <w:p w:rsidR="00D14BF8" w:rsidRDefault="00D14BF8" w:rsidP="00D14BF8">
            <w:pPr>
              <w:pStyle w:val="UrbisTableBullet"/>
              <w:spacing w:before="60" w:after="60" w:line="240" w:lineRule="auto"/>
              <w:ind w:left="340" w:hanging="227"/>
            </w:pPr>
            <w:r>
              <w:t>Applies to 55% of ELNSW participants who achieved an outcome – those that indicated in Urbis survey that they had improved opportunities to go out with friends (proxy for consumer welfare)</w:t>
            </w:r>
          </w:p>
          <w:p w:rsidR="00D14BF8" w:rsidRPr="00EC747A" w:rsidRDefault="00D14BF8" w:rsidP="00D14BF8">
            <w:pPr>
              <w:pStyle w:val="UrbisTableBullet"/>
              <w:spacing w:before="60" w:after="60" w:line="240" w:lineRule="auto"/>
              <w:ind w:left="340" w:hanging="227"/>
            </w:pPr>
            <w:r>
              <w:t>For ALNSW participants, only 22% of the 55% (percentage who were primary carer, based o</w:t>
            </w:r>
            <w:r w:rsidR="00DE5B35">
              <w:t xml:space="preserve">n ABS data detailed in Appendix </w:t>
            </w:r>
            <w:r>
              <w:t xml:space="preserve">A) </w:t>
            </w:r>
          </w:p>
        </w:tc>
      </w:tr>
    </w:tbl>
    <w:p w:rsidR="00D14BF8" w:rsidRPr="005B2288" w:rsidRDefault="00D14BF8" w:rsidP="00D14BF8">
      <w:pPr>
        <w:rPr>
          <w:sz w:val="18"/>
        </w:rPr>
      </w:pPr>
      <w:r w:rsidRPr="005B2288">
        <w:rPr>
          <w:sz w:val="18"/>
        </w:rPr>
        <w:t>Note: attribution rates are outlined in section 3.1.2</w:t>
      </w:r>
    </w:p>
    <w:p w:rsidR="00D14BF8" w:rsidRDefault="00D14BF8" w:rsidP="00D14BF8">
      <w:r>
        <w:fldChar w:fldCharType="begin"/>
      </w:r>
      <w:r>
        <w:instrText xml:space="preserve"> REF _Ref459026547 \h </w:instrText>
      </w:r>
      <w:r>
        <w:fldChar w:fldCharType="separate"/>
      </w:r>
      <w:r w:rsidR="00770791" w:rsidRPr="003B7DC4">
        <w:t xml:space="preserve">Table </w:t>
      </w:r>
      <w:r w:rsidR="00770791">
        <w:rPr>
          <w:noProof/>
        </w:rPr>
        <w:t>3</w:t>
      </w:r>
      <w:r w:rsidR="00770791" w:rsidRPr="003B7DC4">
        <w:noBreakHyphen/>
      </w:r>
      <w:r w:rsidR="00770791">
        <w:rPr>
          <w:noProof/>
        </w:rPr>
        <w:t>2</w:t>
      </w:r>
      <w:r>
        <w:fldChar w:fldCharType="end"/>
      </w:r>
      <w:r>
        <w:t xml:space="preserve"> details the social benefits associated with ALNSW and ELNSW, the annual value of benefits, and applicable outcomes.</w:t>
      </w:r>
    </w:p>
    <w:p w:rsidR="00D14BF8" w:rsidRPr="003B7DC4" w:rsidRDefault="00D14BF8" w:rsidP="00D14BF8">
      <w:pPr>
        <w:pStyle w:val="Caption"/>
        <w:rPr>
          <w:sz w:val="20"/>
          <w:szCs w:val="20"/>
        </w:rPr>
      </w:pPr>
      <w:bookmarkStart w:id="128" w:name="_Ref459026547"/>
      <w:bookmarkStart w:id="129" w:name="_Toc466025149"/>
      <w:bookmarkStart w:id="130" w:name="_Toc467137552"/>
      <w:r w:rsidRPr="003B7DC4">
        <w:rPr>
          <w:sz w:val="20"/>
          <w:szCs w:val="20"/>
        </w:rPr>
        <w:t xml:space="preserve">Table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3</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2</w:t>
      </w:r>
      <w:r w:rsidRPr="003B7DC4">
        <w:rPr>
          <w:noProof/>
          <w:sz w:val="20"/>
          <w:szCs w:val="20"/>
        </w:rPr>
        <w:fldChar w:fldCharType="end"/>
      </w:r>
      <w:bookmarkEnd w:id="128"/>
      <w:r w:rsidRPr="003B7DC4">
        <w:rPr>
          <w:sz w:val="20"/>
          <w:szCs w:val="20"/>
        </w:rPr>
        <w:t xml:space="preserve"> – Social benefits assigned to outcomes</w:t>
      </w:r>
      <w:bookmarkEnd w:id="129"/>
      <w:bookmarkEnd w:id="130"/>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Details of the value and outcome from each social benefit."/>
      </w:tblPr>
      <w:tblGrid>
        <w:gridCol w:w="2391"/>
        <w:gridCol w:w="2818"/>
        <w:gridCol w:w="4363"/>
      </w:tblGrid>
      <w:tr w:rsidR="003B7DC4" w:rsidRPr="003B7DC4" w:rsidTr="00CB2E79">
        <w:trPr>
          <w:cnfStyle w:val="100000000000" w:firstRow="1" w:lastRow="0" w:firstColumn="0" w:lastColumn="0" w:oddVBand="0" w:evenVBand="0" w:oddHBand="0" w:evenHBand="0" w:firstRowFirstColumn="0" w:firstRowLastColumn="0" w:lastRowFirstColumn="0" w:lastRowLastColumn="0"/>
          <w:cantSplit/>
          <w:tblHeader/>
        </w:trPr>
        <w:tc>
          <w:tcPr>
            <w:tcW w:w="240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bookmarkStart w:id="131" w:name="ColumnTitle_Table4_2"/>
            <w:bookmarkEnd w:id="131"/>
            <w:r w:rsidRPr="003B7DC4">
              <w:rPr>
                <w:b/>
                <w:color w:val="auto"/>
              </w:rPr>
              <w:t>Benefit</w:t>
            </w:r>
          </w:p>
        </w:tc>
        <w:tc>
          <w:tcPr>
            <w:tcW w:w="28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r w:rsidRPr="003B7DC4">
              <w:rPr>
                <w:b/>
                <w:color w:val="auto"/>
              </w:rPr>
              <w:t>Value</w:t>
            </w:r>
          </w:p>
        </w:tc>
        <w:tc>
          <w:tcPr>
            <w:tcW w:w="438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D14BF8" w:rsidRPr="003B7DC4" w:rsidRDefault="00D14BF8" w:rsidP="00D14BF8">
            <w:pPr>
              <w:spacing w:after="60"/>
              <w:rPr>
                <w:b/>
                <w:color w:val="auto"/>
              </w:rPr>
            </w:pPr>
            <w:r w:rsidRPr="003B7DC4">
              <w:rPr>
                <w:b/>
                <w:color w:val="auto"/>
              </w:rPr>
              <w:t>Applicable Outcomes</w:t>
            </w:r>
          </w:p>
        </w:tc>
      </w:tr>
      <w:tr w:rsidR="00D14BF8" w:rsidTr="00CB2E79">
        <w:trPr>
          <w:cnfStyle w:val="000000100000" w:firstRow="0" w:lastRow="0" w:firstColumn="0" w:lastColumn="0" w:oddVBand="0" w:evenVBand="0" w:oddHBand="1" w:evenHBand="0" w:firstRowFirstColumn="0" w:firstRowLastColumn="0" w:lastRowFirstColumn="0" w:lastRowLastColumn="0"/>
          <w:cantSplit/>
        </w:trPr>
        <w:tc>
          <w:tcPr>
            <w:tcW w:w="2405" w:type="dxa"/>
            <w:tcBorders>
              <w:top w:val="single" w:sz="18" w:space="0" w:color="808080" w:themeColor="background1" w:themeShade="80"/>
            </w:tcBorders>
            <w:shd w:val="clear" w:color="auto" w:fill="auto"/>
            <w:vAlign w:val="top"/>
          </w:tcPr>
          <w:p w:rsidR="00D14BF8" w:rsidRDefault="00D14BF8" w:rsidP="00D14BF8">
            <w:pPr>
              <w:spacing w:after="60"/>
            </w:pPr>
            <w:r>
              <w:t>Increased self-esteem</w:t>
            </w:r>
          </w:p>
        </w:tc>
        <w:tc>
          <w:tcPr>
            <w:tcW w:w="2835" w:type="dxa"/>
            <w:tcBorders>
              <w:top w:val="single" w:sz="18" w:space="0" w:color="808080" w:themeColor="background1" w:themeShade="80"/>
            </w:tcBorders>
            <w:shd w:val="clear" w:color="auto" w:fill="auto"/>
            <w:vAlign w:val="top"/>
          </w:tcPr>
          <w:p w:rsidR="00D14BF8" w:rsidRDefault="00D14BF8" w:rsidP="00D14BF8">
            <w:pPr>
              <w:spacing w:after="60"/>
            </w:pPr>
            <w:r>
              <w:t>Average fee for clinical psychologist of $160.29, once per fortnight.</w:t>
            </w:r>
          </w:p>
          <w:p w:rsidR="00D14BF8" w:rsidRDefault="00D14BF8" w:rsidP="00D14BF8">
            <w:pPr>
              <w:spacing w:after="60"/>
            </w:pPr>
            <w:r>
              <w:t>Annual value: $4,168</w:t>
            </w:r>
          </w:p>
        </w:tc>
        <w:tc>
          <w:tcPr>
            <w:tcW w:w="4388" w:type="dxa"/>
            <w:tcBorders>
              <w:top w:val="single" w:sz="18" w:space="0" w:color="808080" w:themeColor="background1" w:themeShade="80"/>
            </w:tcBorders>
            <w:shd w:val="clear" w:color="auto" w:fill="auto"/>
            <w:vAlign w:val="top"/>
          </w:tcPr>
          <w:p w:rsidR="00D14BF8" w:rsidRPr="00F976CF" w:rsidRDefault="00D14BF8" w:rsidP="00D14BF8">
            <w:pPr>
              <w:pStyle w:val="UrbisTableBullet"/>
              <w:spacing w:before="60" w:after="60" w:line="240" w:lineRule="auto"/>
              <w:ind w:left="340" w:hanging="227"/>
              <w:rPr>
                <w:color w:val="auto"/>
              </w:rPr>
            </w:pPr>
            <w:r w:rsidRPr="00F976CF">
              <w:rPr>
                <w:color w:val="auto"/>
              </w:rPr>
              <w:t>All social, community and civic engagement outcomes</w:t>
            </w:r>
          </w:p>
          <w:p w:rsidR="00D14BF8" w:rsidRPr="00F976CF" w:rsidRDefault="00D14BF8" w:rsidP="00D14BF8">
            <w:pPr>
              <w:pStyle w:val="UrbisTableBullet"/>
              <w:spacing w:before="60" w:after="60" w:line="240" w:lineRule="auto"/>
              <w:ind w:left="340" w:hanging="227"/>
              <w:rPr>
                <w:color w:val="auto"/>
              </w:rPr>
            </w:pPr>
            <w:r w:rsidRPr="00F976CF">
              <w:rPr>
                <w:color w:val="auto"/>
              </w:rPr>
              <w:t>All employment outcomes</w:t>
            </w:r>
          </w:p>
          <w:p w:rsidR="00D14BF8" w:rsidRPr="00F976CF" w:rsidRDefault="00D14BF8" w:rsidP="00D43846">
            <w:pPr>
              <w:pStyle w:val="ListParagraph"/>
              <w:numPr>
                <w:ilvl w:val="1"/>
                <w:numId w:val="19"/>
              </w:numPr>
              <w:spacing w:after="60"/>
              <w:ind w:left="643"/>
              <w:contextualSpacing/>
            </w:pPr>
            <w:r w:rsidRPr="00F976CF">
              <w:t xml:space="preserve">For outcome </w:t>
            </w:r>
            <w:r w:rsidRPr="00F976CF">
              <w:rPr>
                <w:i/>
              </w:rPr>
              <w:t xml:space="preserve">assistance negotiating/liaising with employer to secure employment </w:t>
            </w:r>
            <w:r w:rsidRPr="00F976CF">
              <w:t>only applies to the 20% who got a job</w:t>
            </w:r>
          </w:p>
          <w:p w:rsidR="00D14BF8" w:rsidRPr="00F976CF" w:rsidRDefault="00D14BF8" w:rsidP="00D43846">
            <w:pPr>
              <w:pStyle w:val="ListParagraph"/>
              <w:numPr>
                <w:ilvl w:val="1"/>
                <w:numId w:val="19"/>
              </w:numPr>
              <w:spacing w:after="60"/>
              <w:ind w:left="643"/>
              <w:contextualSpacing/>
            </w:pPr>
            <w:r w:rsidRPr="00F976CF">
              <w:t xml:space="preserve">For outcome </w:t>
            </w:r>
            <w:r w:rsidRPr="00F976CF">
              <w:rPr>
                <w:i/>
              </w:rPr>
              <w:t>connecting with</w:t>
            </w:r>
            <w:r w:rsidRPr="00F976CF">
              <w:t xml:space="preserve"> </w:t>
            </w:r>
            <w:r w:rsidRPr="00F976CF">
              <w:rPr>
                <w:i/>
              </w:rPr>
              <w:t>disability employment services</w:t>
            </w:r>
            <w:r w:rsidRPr="00F976CF">
              <w:t xml:space="preserve"> only applies to the 26.1% who got a job</w:t>
            </w:r>
          </w:p>
          <w:p w:rsidR="00D14BF8" w:rsidRPr="00F976CF" w:rsidRDefault="00D14BF8" w:rsidP="00D14BF8">
            <w:pPr>
              <w:pStyle w:val="UrbisTableBullet"/>
              <w:spacing w:before="60" w:after="60" w:line="240" w:lineRule="auto"/>
              <w:ind w:left="340" w:hanging="227"/>
              <w:rPr>
                <w:color w:val="auto"/>
              </w:rPr>
            </w:pPr>
            <w:r w:rsidRPr="00F976CF">
              <w:rPr>
                <w:color w:val="auto"/>
              </w:rPr>
              <w:t xml:space="preserve">All education outcomes </w:t>
            </w:r>
          </w:p>
          <w:p w:rsidR="00D14BF8" w:rsidRPr="00F976CF" w:rsidRDefault="00D14BF8" w:rsidP="00D43846">
            <w:pPr>
              <w:pStyle w:val="ListParagraph"/>
              <w:numPr>
                <w:ilvl w:val="1"/>
                <w:numId w:val="19"/>
              </w:numPr>
              <w:spacing w:after="60"/>
              <w:ind w:left="643"/>
              <w:contextualSpacing/>
            </w:pPr>
            <w:r w:rsidRPr="00F976CF">
              <w:t>Support accessing or liaising with schools has outcome for parent also</w:t>
            </w:r>
          </w:p>
        </w:tc>
      </w:tr>
      <w:tr w:rsidR="00D14BF8" w:rsidTr="00CB2E79">
        <w:trPr>
          <w:cantSplit/>
        </w:trPr>
        <w:tc>
          <w:tcPr>
            <w:tcW w:w="2405" w:type="dxa"/>
            <w:vAlign w:val="top"/>
          </w:tcPr>
          <w:p w:rsidR="00D14BF8" w:rsidRDefault="00D14BF8" w:rsidP="00D14BF8">
            <w:pPr>
              <w:spacing w:after="60"/>
            </w:pPr>
            <w:r>
              <w:t>Improved personal well</w:t>
            </w:r>
            <w:r>
              <w:noBreakHyphen/>
              <w:t>being</w:t>
            </w:r>
          </w:p>
        </w:tc>
        <w:tc>
          <w:tcPr>
            <w:tcW w:w="2835" w:type="dxa"/>
            <w:vAlign w:val="top"/>
          </w:tcPr>
          <w:p w:rsidR="00D14BF8" w:rsidRDefault="00D14BF8" w:rsidP="00D14BF8">
            <w:pPr>
              <w:spacing w:after="60"/>
            </w:pPr>
            <w:r>
              <w:t>Average fee for clinical psychologist of $160.29, once per fortnight.</w:t>
            </w:r>
          </w:p>
          <w:p w:rsidR="00D14BF8" w:rsidRDefault="00D14BF8" w:rsidP="00D14BF8">
            <w:pPr>
              <w:spacing w:after="60"/>
            </w:pPr>
            <w:r>
              <w:t>Annual value: $4,168</w:t>
            </w:r>
          </w:p>
        </w:tc>
        <w:tc>
          <w:tcPr>
            <w:tcW w:w="4388" w:type="dxa"/>
            <w:vAlign w:val="top"/>
          </w:tcPr>
          <w:p w:rsidR="00D14BF8" w:rsidRPr="00F976CF" w:rsidRDefault="00D14BF8" w:rsidP="00D14BF8">
            <w:pPr>
              <w:pStyle w:val="UrbisTableBullet"/>
              <w:spacing w:before="60" w:after="60" w:line="240" w:lineRule="auto"/>
              <w:ind w:left="340" w:hanging="227"/>
              <w:rPr>
                <w:color w:val="auto"/>
              </w:rPr>
            </w:pPr>
            <w:r w:rsidRPr="00F976CF">
              <w:rPr>
                <w:color w:val="auto"/>
              </w:rPr>
              <w:t>All service engagement outcomes</w:t>
            </w:r>
          </w:p>
        </w:tc>
      </w:tr>
      <w:tr w:rsidR="00D14BF8" w:rsidTr="00CB2E79">
        <w:trPr>
          <w:cnfStyle w:val="000000100000" w:firstRow="0" w:lastRow="0" w:firstColumn="0" w:lastColumn="0" w:oddVBand="0" w:evenVBand="0" w:oddHBand="1" w:evenHBand="0" w:firstRowFirstColumn="0" w:firstRowLastColumn="0" w:lastRowFirstColumn="0" w:lastRowLastColumn="0"/>
          <w:cantSplit/>
        </w:trPr>
        <w:tc>
          <w:tcPr>
            <w:tcW w:w="2405" w:type="dxa"/>
            <w:shd w:val="clear" w:color="auto" w:fill="auto"/>
            <w:vAlign w:val="top"/>
          </w:tcPr>
          <w:p w:rsidR="00D14BF8" w:rsidRDefault="00D14BF8" w:rsidP="00D14BF8">
            <w:pPr>
              <w:spacing w:after="60"/>
            </w:pPr>
            <w:r>
              <w:lastRenderedPageBreak/>
              <w:t>Improved social capital</w:t>
            </w:r>
          </w:p>
        </w:tc>
        <w:tc>
          <w:tcPr>
            <w:tcW w:w="2835" w:type="dxa"/>
            <w:shd w:val="clear" w:color="auto" w:fill="auto"/>
            <w:vAlign w:val="top"/>
          </w:tcPr>
          <w:p w:rsidR="00D14BF8" w:rsidRDefault="00D14BF8" w:rsidP="00D14BF8">
            <w:pPr>
              <w:spacing w:after="60"/>
            </w:pPr>
            <w:r>
              <w:t>Cost of participating in social group of $7.50, once per fortnight.</w:t>
            </w:r>
          </w:p>
          <w:p w:rsidR="00D14BF8" w:rsidRDefault="00D14BF8" w:rsidP="00D14BF8">
            <w:pPr>
              <w:spacing w:after="60"/>
            </w:pPr>
            <w:r>
              <w:t>Annual value: $195</w:t>
            </w:r>
          </w:p>
        </w:tc>
        <w:tc>
          <w:tcPr>
            <w:tcW w:w="4388" w:type="dxa"/>
            <w:shd w:val="clear" w:color="auto" w:fill="auto"/>
            <w:vAlign w:val="top"/>
          </w:tcPr>
          <w:p w:rsidR="00D14BF8" w:rsidRPr="00F976CF" w:rsidRDefault="00D14BF8" w:rsidP="00D14BF8">
            <w:pPr>
              <w:pStyle w:val="UrbisTableBullet"/>
              <w:spacing w:before="60" w:after="60" w:line="240" w:lineRule="auto"/>
              <w:ind w:left="340" w:hanging="227"/>
              <w:rPr>
                <w:color w:val="auto"/>
              </w:rPr>
            </w:pPr>
            <w:r w:rsidRPr="00F976CF">
              <w:rPr>
                <w:color w:val="auto"/>
              </w:rPr>
              <w:t>All social, community and civic engagement outcomes</w:t>
            </w:r>
          </w:p>
          <w:p w:rsidR="00D14BF8" w:rsidRPr="00F976CF" w:rsidRDefault="00D14BF8" w:rsidP="00D14BF8">
            <w:pPr>
              <w:pStyle w:val="UrbisTableBullet"/>
              <w:spacing w:before="60" w:after="60" w:line="240" w:lineRule="auto"/>
              <w:ind w:left="340" w:hanging="227"/>
              <w:rPr>
                <w:color w:val="auto"/>
              </w:rPr>
            </w:pPr>
            <w:r w:rsidRPr="00F976CF">
              <w:rPr>
                <w:color w:val="auto"/>
              </w:rPr>
              <w:t>All employment outcomes</w:t>
            </w:r>
          </w:p>
          <w:p w:rsidR="00D14BF8" w:rsidRDefault="00D14BF8" w:rsidP="00D43846">
            <w:pPr>
              <w:pStyle w:val="ListParagraph"/>
              <w:numPr>
                <w:ilvl w:val="1"/>
                <w:numId w:val="19"/>
              </w:numPr>
              <w:spacing w:after="60"/>
              <w:ind w:left="643"/>
              <w:contextualSpacing/>
            </w:pPr>
            <w:r>
              <w:t xml:space="preserve">For the outcome </w:t>
            </w:r>
            <w:r w:rsidRPr="00C818D9">
              <w:rPr>
                <w:i/>
              </w:rPr>
              <w:t>assistance negotiating/liaising with employer to secure employment</w:t>
            </w:r>
            <w:r>
              <w:t xml:space="preserve"> only applies to the 20% who got a job</w:t>
            </w:r>
          </w:p>
          <w:p w:rsidR="00D14BF8" w:rsidRPr="00E32F68" w:rsidRDefault="00D14BF8" w:rsidP="00D43846">
            <w:pPr>
              <w:pStyle w:val="ListParagraph"/>
              <w:numPr>
                <w:ilvl w:val="1"/>
                <w:numId w:val="19"/>
              </w:numPr>
              <w:spacing w:after="60"/>
              <w:ind w:left="643"/>
              <w:contextualSpacing/>
            </w:pPr>
            <w:r>
              <w:t xml:space="preserve">For the outcome </w:t>
            </w:r>
            <w:r w:rsidRPr="00C818D9">
              <w:rPr>
                <w:i/>
              </w:rPr>
              <w:t>connecting with disability employment services</w:t>
            </w:r>
            <w:r>
              <w:t xml:space="preserve"> only applies to the 26.1% who got a job</w:t>
            </w:r>
          </w:p>
        </w:tc>
      </w:tr>
    </w:tbl>
    <w:p w:rsidR="00D14BF8" w:rsidRPr="00371725" w:rsidRDefault="00D14BF8" w:rsidP="00D14BF8">
      <w:pPr>
        <w:rPr>
          <w:sz w:val="18"/>
        </w:rPr>
      </w:pPr>
      <w:bookmarkStart w:id="132" w:name="_Ref459026157"/>
      <w:r w:rsidRPr="00371725">
        <w:rPr>
          <w:sz w:val="18"/>
        </w:rPr>
        <w:t>Note: attribution rates are outlined in section 3.1.2 following</w:t>
      </w:r>
    </w:p>
    <w:p w:rsidR="00D14BF8" w:rsidRDefault="00D14BF8" w:rsidP="00D14BF8">
      <w:pPr>
        <w:pStyle w:val="Heading3"/>
        <w:spacing w:before="0" w:after="80"/>
      </w:pPr>
      <w:bookmarkStart w:id="133" w:name="_Ref459204619"/>
      <w:bookmarkStart w:id="134" w:name="_Toc465259722"/>
      <w:bookmarkStart w:id="135" w:name="_Toc467133526"/>
      <w:r w:rsidRPr="00BF58EE">
        <w:t>Attribution rates</w:t>
      </w:r>
      <w:bookmarkEnd w:id="132"/>
      <w:bookmarkEnd w:id="133"/>
      <w:bookmarkEnd w:id="134"/>
      <w:bookmarkEnd w:id="135"/>
    </w:p>
    <w:p w:rsidR="00D14BF8" w:rsidRPr="00BF58EE" w:rsidRDefault="00D14BF8" w:rsidP="00D14BF8">
      <w:r>
        <w:t xml:space="preserve">Additional information was required to accurately attribute the benefits of some outcomes, and to avoid overstating the benefits. The attribution rate for each outcome is the proportion of those who achieved the outcome who receive the benefit associated with that outcome. For each outcome, attribution rates and a brief description of the reasoning behind attribution rates are included in </w:t>
      </w:r>
      <w:r>
        <w:fldChar w:fldCharType="begin"/>
      </w:r>
      <w:r>
        <w:instrText xml:space="preserve"> REF _Ref457826503 \h </w:instrText>
      </w:r>
      <w:r>
        <w:fldChar w:fldCharType="separate"/>
      </w:r>
      <w:r w:rsidR="00770791" w:rsidRPr="00CB2E79">
        <w:t xml:space="preserve">Table </w:t>
      </w:r>
      <w:r w:rsidR="00770791">
        <w:rPr>
          <w:noProof/>
        </w:rPr>
        <w:t>3</w:t>
      </w:r>
      <w:r w:rsidR="00770791" w:rsidRPr="00CB2E79">
        <w:noBreakHyphen/>
      </w:r>
      <w:r w:rsidR="00770791">
        <w:rPr>
          <w:noProof/>
        </w:rPr>
        <w:t>3</w:t>
      </w:r>
      <w:r>
        <w:fldChar w:fldCharType="end"/>
      </w:r>
      <w:r>
        <w:t xml:space="preserve">. Any outcome not listed in </w:t>
      </w:r>
      <w:r>
        <w:fldChar w:fldCharType="begin"/>
      </w:r>
      <w:r>
        <w:instrText xml:space="preserve"> REF _Ref457826503 \h </w:instrText>
      </w:r>
      <w:r>
        <w:fldChar w:fldCharType="separate"/>
      </w:r>
      <w:r w:rsidR="00770791" w:rsidRPr="00CB2E79">
        <w:t xml:space="preserve">Table </w:t>
      </w:r>
      <w:r w:rsidR="00770791">
        <w:rPr>
          <w:noProof/>
        </w:rPr>
        <w:t>3</w:t>
      </w:r>
      <w:r w:rsidR="00770791" w:rsidRPr="00CB2E79">
        <w:noBreakHyphen/>
      </w:r>
      <w:r w:rsidR="00770791">
        <w:rPr>
          <w:noProof/>
        </w:rPr>
        <w:t>3</w:t>
      </w:r>
      <w:r>
        <w:fldChar w:fldCharType="end"/>
      </w:r>
      <w:r>
        <w:t xml:space="preserve"> is assumed to have a 100% attribution rate.</w:t>
      </w:r>
    </w:p>
    <w:p w:rsidR="00D14BF8" w:rsidRPr="00CB2E79" w:rsidRDefault="00D14BF8" w:rsidP="00D14BF8">
      <w:pPr>
        <w:pStyle w:val="Caption"/>
        <w:rPr>
          <w:sz w:val="20"/>
        </w:rPr>
      </w:pPr>
      <w:bookmarkStart w:id="136" w:name="_Ref457826503"/>
      <w:bookmarkStart w:id="137" w:name="_Toc466025150"/>
      <w:bookmarkStart w:id="138" w:name="_Toc467137553"/>
      <w:r w:rsidRPr="00CB2E79">
        <w:rPr>
          <w:sz w:val="20"/>
        </w:rPr>
        <w:t xml:space="preserve">Table </w:t>
      </w:r>
      <w:r w:rsidR="000C350F" w:rsidRPr="00CB2E79">
        <w:rPr>
          <w:sz w:val="20"/>
        </w:rPr>
        <w:fldChar w:fldCharType="begin"/>
      </w:r>
      <w:r w:rsidR="000C350F" w:rsidRPr="00CB2E79">
        <w:rPr>
          <w:sz w:val="20"/>
        </w:rPr>
        <w:instrText xml:space="preserve"> STYLEREF 1 \s </w:instrText>
      </w:r>
      <w:r w:rsidR="000C350F" w:rsidRPr="00CB2E79">
        <w:rPr>
          <w:sz w:val="20"/>
        </w:rPr>
        <w:fldChar w:fldCharType="separate"/>
      </w:r>
      <w:r w:rsidR="00770791">
        <w:rPr>
          <w:noProof/>
          <w:sz w:val="20"/>
        </w:rPr>
        <w:t>3</w:t>
      </w:r>
      <w:r w:rsidR="000C350F" w:rsidRPr="00CB2E79">
        <w:rPr>
          <w:noProof/>
          <w:sz w:val="20"/>
        </w:rPr>
        <w:fldChar w:fldCharType="end"/>
      </w:r>
      <w:r w:rsidRPr="00CB2E79">
        <w:rPr>
          <w:sz w:val="20"/>
        </w:rPr>
        <w:noBreakHyphen/>
      </w:r>
      <w:r w:rsidR="000C350F" w:rsidRPr="00CB2E79">
        <w:rPr>
          <w:sz w:val="20"/>
        </w:rPr>
        <w:fldChar w:fldCharType="begin"/>
      </w:r>
      <w:r w:rsidR="000C350F" w:rsidRPr="00CB2E79">
        <w:rPr>
          <w:sz w:val="20"/>
        </w:rPr>
        <w:instrText xml:space="preserve"> SEQ Table \* ARABIC \s 1 </w:instrText>
      </w:r>
      <w:r w:rsidR="000C350F" w:rsidRPr="00CB2E79">
        <w:rPr>
          <w:sz w:val="20"/>
        </w:rPr>
        <w:fldChar w:fldCharType="separate"/>
      </w:r>
      <w:r w:rsidR="00770791">
        <w:rPr>
          <w:noProof/>
          <w:sz w:val="20"/>
        </w:rPr>
        <w:t>3</w:t>
      </w:r>
      <w:r w:rsidR="000C350F" w:rsidRPr="00CB2E79">
        <w:rPr>
          <w:noProof/>
          <w:sz w:val="20"/>
        </w:rPr>
        <w:fldChar w:fldCharType="end"/>
      </w:r>
      <w:bookmarkEnd w:id="136"/>
      <w:r w:rsidRPr="00CB2E79">
        <w:rPr>
          <w:sz w:val="20"/>
        </w:rPr>
        <w:t xml:space="preserve"> – Outcomes with associated attribution rates</w:t>
      </w:r>
      <w:bookmarkEnd w:id="137"/>
      <w:bookmarkEnd w:id="138"/>
    </w:p>
    <w:tbl>
      <w:tblPr>
        <w:tblStyle w:val="Urbis-Default"/>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Details on the attribution rates applied to different outcomes."/>
      </w:tblPr>
      <w:tblGrid>
        <w:gridCol w:w="2954"/>
        <w:gridCol w:w="2255"/>
        <w:gridCol w:w="4363"/>
      </w:tblGrid>
      <w:tr w:rsidR="00D14BF8" w:rsidTr="00FF6C1C">
        <w:trPr>
          <w:cnfStyle w:val="100000000000" w:firstRow="1" w:lastRow="0" w:firstColumn="0" w:lastColumn="0" w:oddVBand="0" w:evenVBand="0" w:oddHBand="0" w:evenHBand="0" w:firstRowFirstColumn="0" w:firstRowLastColumn="0" w:lastRowFirstColumn="0" w:lastRowLastColumn="0"/>
          <w:tblHeader/>
        </w:trPr>
        <w:tc>
          <w:tcPr>
            <w:tcW w:w="15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14BF8" w:rsidRPr="003B7DC4" w:rsidRDefault="00D14BF8" w:rsidP="00D14BF8">
            <w:pPr>
              <w:spacing w:after="60"/>
              <w:rPr>
                <w:b/>
                <w:color w:val="auto"/>
              </w:rPr>
            </w:pPr>
            <w:bookmarkStart w:id="139" w:name="ColumnTitle_Table4_3"/>
            <w:bookmarkEnd w:id="139"/>
            <w:r w:rsidRPr="003B7DC4">
              <w:rPr>
                <w:b/>
                <w:color w:val="auto"/>
              </w:rPr>
              <w:t>Outcome</w:t>
            </w:r>
          </w:p>
        </w:tc>
        <w:tc>
          <w:tcPr>
            <w:tcW w:w="117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14BF8" w:rsidRPr="003B7DC4" w:rsidRDefault="00D14BF8" w:rsidP="00D14BF8">
            <w:pPr>
              <w:spacing w:after="60"/>
              <w:rPr>
                <w:b/>
                <w:color w:val="auto"/>
              </w:rPr>
            </w:pPr>
            <w:r w:rsidRPr="003B7DC4">
              <w:rPr>
                <w:b/>
                <w:color w:val="auto"/>
              </w:rPr>
              <w:t>Benefit attribution rate</w:t>
            </w:r>
          </w:p>
        </w:tc>
        <w:tc>
          <w:tcPr>
            <w:tcW w:w="227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14BF8" w:rsidRPr="003B7DC4" w:rsidRDefault="00D14BF8" w:rsidP="00D14BF8">
            <w:pPr>
              <w:spacing w:after="60"/>
              <w:rPr>
                <w:b/>
                <w:color w:val="auto"/>
              </w:rPr>
            </w:pPr>
            <w:r w:rsidRPr="003B7DC4">
              <w:rPr>
                <w:b/>
                <w:color w:val="auto"/>
              </w:rPr>
              <w:t>Description</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1543" w:type="pct"/>
            <w:shd w:val="clear" w:color="auto" w:fill="auto"/>
            <w:vAlign w:val="top"/>
          </w:tcPr>
          <w:p w:rsidR="00D14BF8" w:rsidRDefault="00D14BF8" w:rsidP="00D14BF8">
            <w:pPr>
              <w:spacing w:after="60"/>
            </w:pPr>
            <w:r>
              <w:t>Assistance negotiating/liaising with employers to secure employment</w:t>
            </w:r>
          </w:p>
        </w:tc>
        <w:tc>
          <w:tcPr>
            <w:tcW w:w="1178" w:type="pct"/>
            <w:shd w:val="clear" w:color="auto" w:fill="auto"/>
            <w:vAlign w:val="top"/>
          </w:tcPr>
          <w:p w:rsidR="00D14BF8" w:rsidRDefault="00D14BF8" w:rsidP="00D14BF8">
            <w:pPr>
              <w:spacing w:after="60"/>
            </w:pPr>
            <w:r>
              <w:t>20% who achieve this outcome get a job</w:t>
            </w:r>
          </w:p>
        </w:tc>
        <w:tc>
          <w:tcPr>
            <w:tcW w:w="2279" w:type="pct"/>
            <w:shd w:val="clear" w:color="auto" w:fill="auto"/>
            <w:vAlign w:val="top"/>
          </w:tcPr>
          <w:p w:rsidR="00D14BF8" w:rsidRDefault="00D14BF8" w:rsidP="00D14BF8">
            <w:pPr>
              <w:spacing w:after="60"/>
            </w:pPr>
            <w:r>
              <w:t>In the Urbis survey 5 out of 30 (20%) participants answered that ALNSW had helped them get a job.</w:t>
            </w:r>
          </w:p>
        </w:tc>
      </w:tr>
      <w:tr w:rsidR="00D14BF8" w:rsidTr="00FF6C1C">
        <w:tc>
          <w:tcPr>
            <w:tcW w:w="1543" w:type="pct"/>
            <w:vAlign w:val="top"/>
          </w:tcPr>
          <w:p w:rsidR="00D14BF8" w:rsidRDefault="00D14BF8" w:rsidP="00D14BF8">
            <w:pPr>
              <w:spacing w:after="60"/>
            </w:pPr>
            <w:r>
              <w:t>Connecting with disability employment services</w:t>
            </w:r>
          </w:p>
        </w:tc>
        <w:tc>
          <w:tcPr>
            <w:tcW w:w="1178" w:type="pct"/>
            <w:vAlign w:val="top"/>
          </w:tcPr>
          <w:p w:rsidR="00D14BF8" w:rsidRDefault="00D14BF8" w:rsidP="00D14BF8">
            <w:pPr>
              <w:spacing w:after="60"/>
            </w:pPr>
            <w:r>
              <w:t>26% who achieve this outcome get a job</w:t>
            </w:r>
          </w:p>
        </w:tc>
        <w:tc>
          <w:tcPr>
            <w:tcW w:w="2279" w:type="pct"/>
            <w:vAlign w:val="top"/>
          </w:tcPr>
          <w:p w:rsidR="00D14BF8" w:rsidRDefault="00D14BF8" w:rsidP="00D14BF8">
            <w:pPr>
              <w:spacing w:after="60"/>
            </w:pPr>
            <w:r>
              <w:t>Job placement rate for the Federal Department of Employment’s Disability Employment Service.</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1543" w:type="pct"/>
            <w:shd w:val="clear" w:color="auto" w:fill="auto"/>
            <w:vAlign w:val="top"/>
          </w:tcPr>
          <w:p w:rsidR="00D14BF8" w:rsidRDefault="00D14BF8" w:rsidP="00D14BF8">
            <w:pPr>
              <w:spacing w:after="60"/>
            </w:pPr>
            <w:r>
              <w:t>Assistance identifying/connecting to TAFE or University courses</w:t>
            </w:r>
          </w:p>
        </w:tc>
        <w:tc>
          <w:tcPr>
            <w:tcW w:w="1178" w:type="pct"/>
            <w:shd w:val="clear" w:color="auto" w:fill="auto"/>
            <w:vAlign w:val="top"/>
          </w:tcPr>
          <w:p w:rsidR="00D14BF8" w:rsidRDefault="00D14BF8" w:rsidP="00D14BF8">
            <w:pPr>
              <w:spacing w:after="60"/>
            </w:pPr>
            <w:r>
              <w:t>49% who achieve this outcome commence and complete TAFE course</w:t>
            </w:r>
          </w:p>
        </w:tc>
        <w:tc>
          <w:tcPr>
            <w:tcW w:w="2279" w:type="pct"/>
            <w:shd w:val="clear" w:color="auto" w:fill="auto"/>
            <w:vAlign w:val="top"/>
          </w:tcPr>
          <w:p w:rsidR="00D14BF8" w:rsidRDefault="00D14BF8" w:rsidP="00D14BF8">
            <w:pPr>
              <w:spacing w:after="60"/>
            </w:pPr>
            <w:r>
              <w:t>In the Urbis survey 7 out of 11 (64%) participants commenced study thanks to ALNSW. Of those, it was assumed that 78% completed TAFE course, based on the 2013 TAFE completion rate for all students and courses. Data for people with disabilities was not available.</w:t>
            </w:r>
          </w:p>
        </w:tc>
      </w:tr>
      <w:tr w:rsidR="00D14BF8" w:rsidTr="00FF6C1C">
        <w:tc>
          <w:tcPr>
            <w:tcW w:w="1543" w:type="pct"/>
            <w:vAlign w:val="top"/>
          </w:tcPr>
          <w:p w:rsidR="00D14BF8" w:rsidRDefault="00D14BF8" w:rsidP="00D14BF8">
            <w:pPr>
              <w:spacing w:after="60"/>
            </w:pPr>
            <w:r>
              <w:t>Training activities related to employment</w:t>
            </w:r>
          </w:p>
        </w:tc>
        <w:tc>
          <w:tcPr>
            <w:tcW w:w="1178" w:type="pct"/>
            <w:vAlign w:val="top"/>
          </w:tcPr>
          <w:p w:rsidR="00D14BF8" w:rsidRDefault="00D14BF8" w:rsidP="00D14BF8">
            <w:pPr>
              <w:spacing w:after="60"/>
            </w:pPr>
            <w:r>
              <w:t>64% attend training activity</w:t>
            </w:r>
          </w:p>
        </w:tc>
        <w:tc>
          <w:tcPr>
            <w:tcW w:w="2279" w:type="pct"/>
            <w:vAlign w:val="top"/>
          </w:tcPr>
          <w:p w:rsidR="00D14BF8" w:rsidRDefault="00D14BF8" w:rsidP="00D14BF8">
            <w:pPr>
              <w:spacing w:after="60"/>
            </w:pPr>
            <w:r>
              <w:t>In the Urbis survey 7 out of 11 (64%) participants commenced study thanks to ALNSW.</w:t>
            </w:r>
          </w:p>
        </w:tc>
      </w:tr>
      <w:tr w:rsidR="00D14BF8" w:rsidTr="00FF6C1C">
        <w:trPr>
          <w:cnfStyle w:val="000000100000" w:firstRow="0" w:lastRow="0" w:firstColumn="0" w:lastColumn="0" w:oddVBand="0" w:evenVBand="0" w:oddHBand="1" w:evenHBand="0" w:firstRowFirstColumn="0" w:firstRowLastColumn="0" w:lastRowFirstColumn="0" w:lastRowLastColumn="0"/>
        </w:trPr>
        <w:tc>
          <w:tcPr>
            <w:tcW w:w="1543" w:type="pct"/>
            <w:shd w:val="clear" w:color="auto" w:fill="auto"/>
            <w:vAlign w:val="top"/>
          </w:tcPr>
          <w:p w:rsidR="00D14BF8" w:rsidRDefault="00D14BF8" w:rsidP="00D14BF8">
            <w:pPr>
              <w:spacing w:after="60"/>
            </w:pPr>
            <w:r>
              <w:t>Reduced reliance on family/volunteer carer</w:t>
            </w:r>
          </w:p>
        </w:tc>
        <w:tc>
          <w:tcPr>
            <w:tcW w:w="1178" w:type="pct"/>
            <w:shd w:val="clear" w:color="auto" w:fill="auto"/>
            <w:vAlign w:val="top"/>
          </w:tcPr>
          <w:p w:rsidR="00D14BF8" w:rsidRDefault="00D14BF8" w:rsidP="00D14BF8">
            <w:pPr>
              <w:spacing w:after="60"/>
            </w:pPr>
            <w:r>
              <w:t>12% of ALNSW outcomes and 55% of ELNSW outcomes had increase in consumer welfare</w:t>
            </w:r>
          </w:p>
        </w:tc>
        <w:tc>
          <w:tcPr>
            <w:tcW w:w="2279" w:type="pct"/>
            <w:shd w:val="clear" w:color="auto" w:fill="auto"/>
            <w:vAlign w:val="top"/>
          </w:tcPr>
          <w:p w:rsidR="00D14BF8" w:rsidRDefault="00D14BF8" w:rsidP="00D14BF8">
            <w:pPr>
              <w:spacing w:after="60"/>
            </w:pPr>
            <w:r>
              <w:t xml:space="preserve">In the Urbis survey 22 out of 40 (55%) of ELNSW families said they had at least some reduction in reliance on family care </w:t>
            </w:r>
          </w:p>
          <w:p w:rsidR="00D14BF8" w:rsidRDefault="00D14BF8" w:rsidP="00D14BF8">
            <w:pPr>
              <w:spacing w:after="60"/>
            </w:pPr>
            <w:r>
              <w:t>For ALNSW, it was assumed that 22% of participants had a primary carer, based on ABS Survey of Disability, Ageing and Carers. For those with a primary carer, it was assumed they had the same improvement in opportunities to go out with friends as in ELNSW. Equivalent to 12% of all ALNSW outcomes.</w:t>
            </w:r>
          </w:p>
        </w:tc>
      </w:tr>
    </w:tbl>
    <w:p w:rsidR="00D14BF8" w:rsidRPr="003B7DC4" w:rsidRDefault="00D14BF8" w:rsidP="00D14BF8">
      <w:pPr>
        <w:pStyle w:val="Heading2"/>
        <w:tabs>
          <w:tab w:val="clear" w:pos="851"/>
        </w:tabs>
        <w:spacing w:before="360"/>
        <w:rPr>
          <w:iCs w:val="0"/>
        </w:rPr>
      </w:pPr>
      <w:bookmarkStart w:id="140" w:name="_Toc465259723"/>
      <w:bookmarkStart w:id="141" w:name="_Toc467133527"/>
      <w:r w:rsidRPr="003B7DC4">
        <w:rPr>
          <w:iCs w:val="0"/>
        </w:rPr>
        <w:lastRenderedPageBreak/>
        <w:t>Economic benefits</w:t>
      </w:r>
      <w:bookmarkEnd w:id="140"/>
      <w:bookmarkEnd w:id="141"/>
    </w:p>
    <w:p w:rsidR="00D14BF8" w:rsidRPr="000F13F1" w:rsidRDefault="00D14BF8" w:rsidP="00D14BF8">
      <w:pPr>
        <w:rPr>
          <w:b/>
          <w:bCs/>
          <w:sz w:val="16"/>
          <w:szCs w:val="16"/>
        </w:rPr>
      </w:pPr>
      <w:r>
        <w:t>This section details the total economic benefits accrued from all individual outcomes, presented in NPV terms.</w:t>
      </w:r>
    </w:p>
    <w:p w:rsidR="00D14BF8" w:rsidRDefault="00D14BF8" w:rsidP="003B7DC4">
      <w:r>
        <w:t>Total economic benefits across both ALNSW and ELNSW are $4</w:t>
      </w:r>
      <w:r w:rsidR="00330772">
        <w:t>5.</w:t>
      </w:r>
      <w:r>
        <w:t>8 millio</w:t>
      </w:r>
      <w:r w:rsidR="003B7DC4">
        <w:t xml:space="preserve">n in NPV terms. Of this, $29.9 </w:t>
      </w:r>
      <w:r>
        <w:t>million (65%) came from ALNSW, with $16.</w:t>
      </w:r>
      <w:r w:rsidR="00330772">
        <w:t>0</w:t>
      </w:r>
      <w:r>
        <w:t xml:space="preserve"> million (35%) from ELNSW.</w:t>
      </w:r>
      <w:r w:rsidRPr="0018105F">
        <w:t xml:space="preserve"> </w:t>
      </w:r>
      <w:r w:rsidR="00963F4C">
        <w:t>Refer to</w:t>
      </w:r>
      <w:r>
        <w:t xml:space="preserve"> </w:t>
      </w:r>
      <w:bookmarkStart w:id="142" w:name="_Ref459275933"/>
      <w:bookmarkStart w:id="143" w:name="_Ref460503970"/>
      <w:r>
        <w:fldChar w:fldCharType="begin"/>
      </w:r>
      <w:r>
        <w:instrText xml:space="preserve"> REF _Ref466037363 \h </w:instrText>
      </w:r>
      <w:r>
        <w:fldChar w:fldCharType="separate"/>
      </w:r>
      <w:r w:rsidR="00770791" w:rsidRPr="003B7DC4">
        <w:t xml:space="preserve">Table </w:t>
      </w:r>
      <w:r w:rsidR="00770791">
        <w:rPr>
          <w:noProof/>
        </w:rPr>
        <w:t>3</w:t>
      </w:r>
      <w:r w:rsidR="00770791" w:rsidRPr="003B7DC4">
        <w:noBreakHyphen/>
      </w:r>
      <w:r w:rsidR="00770791">
        <w:rPr>
          <w:noProof/>
        </w:rPr>
        <w:t>4</w:t>
      </w:r>
      <w:r>
        <w:fldChar w:fldCharType="end"/>
      </w:r>
      <w:r>
        <w:t xml:space="preserve"> following.</w:t>
      </w:r>
    </w:p>
    <w:p w:rsidR="00D14BF8" w:rsidRPr="003B7DC4" w:rsidRDefault="00D14BF8" w:rsidP="00D14BF8">
      <w:pPr>
        <w:pStyle w:val="Caption"/>
        <w:rPr>
          <w:sz w:val="20"/>
          <w:szCs w:val="20"/>
        </w:rPr>
      </w:pPr>
      <w:bookmarkStart w:id="144" w:name="_Ref466037363"/>
      <w:bookmarkStart w:id="145" w:name="_Toc466025151"/>
      <w:bookmarkStart w:id="146" w:name="_Toc467137554"/>
      <w:r w:rsidRPr="003B7DC4">
        <w:rPr>
          <w:sz w:val="20"/>
          <w:szCs w:val="20"/>
        </w:rPr>
        <w:t xml:space="preserve">Table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3</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4</w:t>
      </w:r>
      <w:r w:rsidRPr="003B7DC4">
        <w:rPr>
          <w:noProof/>
          <w:sz w:val="20"/>
          <w:szCs w:val="20"/>
        </w:rPr>
        <w:fldChar w:fldCharType="end"/>
      </w:r>
      <w:bookmarkEnd w:id="142"/>
      <w:bookmarkEnd w:id="143"/>
      <w:bookmarkEnd w:id="144"/>
      <w:r w:rsidRPr="003B7DC4">
        <w:rPr>
          <w:sz w:val="20"/>
          <w:szCs w:val="20"/>
        </w:rPr>
        <w:t xml:space="preserve"> – Economic benefits of individual outcomes (2015-16 to 2024-25)</w:t>
      </w:r>
      <w:bookmarkEnd w:id="145"/>
      <w:bookmarkEnd w:id="146"/>
    </w:p>
    <w:tbl>
      <w:tblPr>
        <w:tblStyle w:val="Urbis-Default"/>
        <w:tblW w:w="10138"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Description w:val="Breakdown of the value (in NPV) of the different economic benefits"/>
      </w:tblPr>
      <w:tblGrid>
        <w:gridCol w:w="1526"/>
        <w:gridCol w:w="2551"/>
        <w:gridCol w:w="2410"/>
        <w:gridCol w:w="1134"/>
        <w:gridCol w:w="1300"/>
        <w:gridCol w:w="1217"/>
      </w:tblGrid>
      <w:tr w:rsidR="00EB4AA6" w:rsidTr="002879C2">
        <w:trPr>
          <w:cnfStyle w:val="100000000000" w:firstRow="1" w:lastRow="0" w:firstColumn="0" w:lastColumn="0" w:oddVBand="0" w:evenVBand="0" w:oddHBand="0" w:evenHBand="0" w:firstRowFirstColumn="0" w:firstRowLastColumn="0" w:lastRowFirstColumn="0" w:lastRowLastColumn="0"/>
          <w:tblHeader/>
        </w:trPr>
        <w:tc>
          <w:tcPr>
            <w:tcW w:w="152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bookmarkStart w:id="147" w:name="ColumnTitle_Table4_4"/>
            <w:bookmarkEnd w:id="147"/>
            <w:r w:rsidRPr="003E0451">
              <w:rPr>
                <w:b/>
                <w:color w:val="auto"/>
              </w:rPr>
              <w:t>Type of Outcome</w:t>
            </w:r>
          </w:p>
        </w:tc>
        <w:tc>
          <w:tcPr>
            <w:tcW w:w="2551"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r w:rsidRPr="003E0451">
              <w:rPr>
                <w:b/>
                <w:color w:val="auto"/>
              </w:rPr>
              <w:t>Details of Outcome</w:t>
            </w:r>
          </w:p>
        </w:tc>
        <w:tc>
          <w:tcPr>
            <w:tcW w:w="241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r w:rsidRPr="003E0451">
              <w:rPr>
                <w:b/>
                <w:color w:val="auto"/>
              </w:rPr>
              <w:t>Benefit</w:t>
            </w:r>
          </w:p>
        </w:tc>
        <w:tc>
          <w:tcPr>
            <w:tcW w:w="113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r w:rsidRPr="003E0451">
              <w:rPr>
                <w:b/>
                <w:color w:val="auto"/>
              </w:rPr>
              <w:t>AL NPV (2016 $)</w:t>
            </w:r>
          </w:p>
        </w:tc>
        <w:tc>
          <w:tcPr>
            <w:tcW w:w="130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r w:rsidRPr="003E0451">
              <w:rPr>
                <w:b/>
                <w:color w:val="auto"/>
              </w:rPr>
              <w:t>EL NPV</w:t>
            </w:r>
            <w:r>
              <w:rPr>
                <w:b/>
                <w:color w:val="auto"/>
              </w:rPr>
              <w:t xml:space="preserve"> </w:t>
            </w:r>
            <w:r w:rsidRPr="003E0451">
              <w:rPr>
                <w:b/>
                <w:color w:val="auto"/>
              </w:rPr>
              <w:t>(2016 $)</w:t>
            </w:r>
          </w:p>
        </w:tc>
        <w:tc>
          <w:tcPr>
            <w:tcW w:w="12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EB4AA6" w:rsidRPr="003E0451" w:rsidRDefault="00EB4AA6" w:rsidP="00EB4AA6">
            <w:pPr>
              <w:spacing w:after="60"/>
              <w:rPr>
                <w:b/>
                <w:color w:val="auto"/>
              </w:rPr>
            </w:pPr>
            <w:r w:rsidRPr="003E0451">
              <w:rPr>
                <w:b/>
                <w:color w:val="auto"/>
              </w:rPr>
              <w:t>Total NPV</w:t>
            </w:r>
            <w:r>
              <w:rPr>
                <w:b/>
                <w:color w:val="auto"/>
              </w:rPr>
              <w:t xml:space="preserve"> </w:t>
            </w:r>
            <w:r w:rsidRPr="003E0451">
              <w:rPr>
                <w:b/>
                <w:color w:val="auto"/>
              </w:rPr>
              <w:t>(2016 $)</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tcBorders>
              <w:top w:val="single" w:sz="18" w:space="0" w:color="808080" w:themeColor="background1" w:themeShade="80"/>
            </w:tcBorders>
            <w:shd w:val="clear" w:color="auto" w:fill="auto"/>
          </w:tcPr>
          <w:p w:rsidR="00EB4AA6" w:rsidRPr="00EB4AA6" w:rsidRDefault="00EB4AA6" w:rsidP="00EB4AA6">
            <w:pPr>
              <w:spacing w:after="60"/>
              <w:rPr>
                <w:b/>
              </w:rPr>
            </w:pPr>
            <w:r w:rsidRPr="00EB4AA6">
              <w:rPr>
                <w:b/>
              </w:rPr>
              <w:t>Employment</w:t>
            </w:r>
          </w:p>
        </w:tc>
        <w:tc>
          <w:tcPr>
            <w:tcW w:w="2551" w:type="dxa"/>
            <w:tcBorders>
              <w:top w:val="single" w:sz="18" w:space="0" w:color="808080" w:themeColor="background1" w:themeShade="80"/>
            </w:tcBorders>
            <w:shd w:val="clear" w:color="auto" w:fill="auto"/>
            <w:vAlign w:val="top"/>
          </w:tcPr>
          <w:p w:rsidR="00EB4AA6" w:rsidRPr="005A79DA" w:rsidRDefault="00EB4AA6" w:rsidP="00EB4AA6">
            <w:pPr>
              <w:spacing w:after="60"/>
            </w:pPr>
            <w:r w:rsidRPr="005A79DA">
              <w:t>Small business/entrepreneurial advice/grants information</w:t>
            </w:r>
          </w:p>
        </w:tc>
        <w:tc>
          <w:tcPr>
            <w:tcW w:w="2410" w:type="dxa"/>
            <w:tcBorders>
              <w:top w:val="single" w:sz="18" w:space="0" w:color="808080" w:themeColor="background1" w:themeShade="80"/>
            </w:tcBorders>
            <w:shd w:val="clear" w:color="auto" w:fill="auto"/>
            <w:vAlign w:val="top"/>
          </w:tcPr>
          <w:p w:rsidR="00EB4AA6" w:rsidRDefault="00EB4AA6" w:rsidP="00EB4AA6">
            <w:pPr>
              <w:spacing w:after="60"/>
            </w:pPr>
            <w:r>
              <w:t>Economic value of small business/entrepreneurial/grants information</w:t>
            </w:r>
          </w:p>
        </w:tc>
        <w:tc>
          <w:tcPr>
            <w:tcW w:w="1134" w:type="dxa"/>
            <w:tcBorders>
              <w:top w:val="single" w:sz="18" w:space="0" w:color="808080" w:themeColor="background1" w:themeShade="80"/>
            </w:tcBorders>
            <w:shd w:val="clear" w:color="auto" w:fill="auto"/>
            <w:vAlign w:val="top"/>
          </w:tcPr>
          <w:p w:rsidR="00EB4AA6" w:rsidRPr="006A2A3D" w:rsidRDefault="00EB4AA6" w:rsidP="00EB4AA6">
            <w:pPr>
              <w:spacing w:after="60"/>
            </w:pPr>
            <w:r>
              <w:t>5,800</w:t>
            </w:r>
          </w:p>
        </w:tc>
        <w:tc>
          <w:tcPr>
            <w:tcW w:w="1300" w:type="dxa"/>
            <w:tcBorders>
              <w:top w:val="single" w:sz="18" w:space="0" w:color="808080" w:themeColor="background1" w:themeShade="80"/>
            </w:tcBorders>
            <w:shd w:val="clear" w:color="auto" w:fill="auto"/>
            <w:vAlign w:val="top"/>
          </w:tcPr>
          <w:p w:rsidR="00EB4AA6" w:rsidRPr="00845F6D" w:rsidRDefault="00EB4AA6" w:rsidP="00EB4AA6">
            <w:pPr>
              <w:spacing w:after="60"/>
            </w:pPr>
            <w:r w:rsidRPr="00845F6D">
              <w:t>200</w:t>
            </w:r>
          </w:p>
        </w:tc>
        <w:tc>
          <w:tcPr>
            <w:tcW w:w="1217" w:type="dxa"/>
            <w:tcBorders>
              <w:top w:val="single" w:sz="18" w:space="0" w:color="808080" w:themeColor="background1" w:themeShade="80"/>
            </w:tcBorders>
            <w:shd w:val="clear" w:color="auto" w:fill="auto"/>
            <w:vAlign w:val="top"/>
          </w:tcPr>
          <w:p w:rsidR="00EB4AA6" w:rsidRPr="006A2A3D" w:rsidRDefault="00EB4AA6" w:rsidP="00EB4AA6">
            <w:pPr>
              <w:spacing w:after="60"/>
            </w:pPr>
            <w:r w:rsidRPr="006A2A3D">
              <w:t>6,000</w:t>
            </w:r>
          </w:p>
        </w:tc>
      </w:tr>
      <w:tr w:rsidR="00EB4AA6" w:rsidTr="002879C2">
        <w:tc>
          <w:tcPr>
            <w:tcW w:w="1526" w:type="dxa"/>
            <w:vAlign w:val="top"/>
          </w:tcPr>
          <w:p w:rsidR="00EB4AA6" w:rsidRDefault="00EB4AA6" w:rsidP="00EB4AA6">
            <w:pPr>
              <w:spacing w:after="60"/>
            </w:pPr>
            <w:r w:rsidRPr="003B46B5">
              <w:rPr>
                <w:b/>
              </w:rPr>
              <w:t>Employment</w:t>
            </w:r>
          </w:p>
        </w:tc>
        <w:tc>
          <w:tcPr>
            <w:tcW w:w="2551" w:type="dxa"/>
            <w:vAlign w:val="top"/>
          </w:tcPr>
          <w:p w:rsidR="00EB4AA6" w:rsidRPr="005A79DA" w:rsidRDefault="00EB4AA6" w:rsidP="00EB4AA6">
            <w:pPr>
              <w:spacing w:after="60"/>
            </w:pPr>
            <w:r w:rsidRPr="005A79DA">
              <w:t>Skills development support</w:t>
            </w:r>
          </w:p>
        </w:tc>
        <w:tc>
          <w:tcPr>
            <w:tcW w:w="2410" w:type="dxa"/>
            <w:vAlign w:val="top"/>
          </w:tcPr>
          <w:p w:rsidR="00EB4AA6" w:rsidRDefault="00EB4AA6" w:rsidP="00EB4AA6">
            <w:pPr>
              <w:spacing w:after="60"/>
            </w:pPr>
            <w:r>
              <w:t>Economic value of skills development support</w:t>
            </w:r>
          </w:p>
        </w:tc>
        <w:tc>
          <w:tcPr>
            <w:tcW w:w="1134" w:type="dxa"/>
            <w:vAlign w:val="top"/>
          </w:tcPr>
          <w:p w:rsidR="00EB4AA6" w:rsidRPr="006A2A3D" w:rsidRDefault="00EB4AA6" w:rsidP="00EB4AA6">
            <w:pPr>
              <w:spacing w:after="60"/>
            </w:pPr>
            <w:r>
              <w:t>27,800</w:t>
            </w:r>
          </w:p>
        </w:tc>
        <w:tc>
          <w:tcPr>
            <w:tcW w:w="1300" w:type="dxa"/>
            <w:vAlign w:val="top"/>
          </w:tcPr>
          <w:p w:rsidR="00EB4AA6" w:rsidRPr="00845F6D" w:rsidRDefault="00EB4AA6" w:rsidP="00EB4AA6">
            <w:pPr>
              <w:spacing w:after="60"/>
            </w:pPr>
            <w:r>
              <w:t>6,400</w:t>
            </w:r>
          </w:p>
        </w:tc>
        <w:tc>
          <w:tcPr>
            <w:tcW w:w="1217" w:type="dxa"/>
            <w:vAlign w:val="top"/>
          </w:tcPr>
          <w:p w:rsidR="00EB4AA6" w:rsidRPr="006A2A3D" w:rsidRDefault="00EB4AA6" w:rsidP="00EB4AA6">
            <w:pPr>
              <w:spacing w:after="60"/>
            </w:pPr>
            <w:r>
              <w:t>34,200</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shd w:val="clear" w:color="auto" w:fill="auto"/>
            <w:vAlign w:val="top"/>
          </w:tcPr>
          <w:p w:rsidR="00EB4AA6" w:rsidRDefault="00EB4AA6" w:rsidP="00EB4AA6">
            <w:pPr>
              <w:spacing w:after="60"/>
            </w:pPr>
            <w:r w:rsidRPr="003B46B5">
              <w:rPr>
                <w:b/>
              </w:rPr>
              <w:t>Employment</w:t>
            </w:r>
          </w:p>
        </w:tc>
        <w:tc>
          <w:tcPr>
            <w:tcW w:w="2551" w:type="dxa"/>
            <w:shd w:val="clear" w:color="auto" w:fill="auto"/>
            <w:vAlign w:val="top"/>
          </w:tcPr>
          <w:p w:rsidR="00EB4AA6" w:rsidRPr="005A79DA" w:rsidRDefault="00EB4AA6" w:rsidP="00EB4AA6">
            <w:pPr>
              <w:spacing w:after="60"/>
            </w:pPr>
            <w:r w:rsidRPr="005A79DA">
              <w:t>Assistance negotiating/liaising with employers to secure employment</w:t>
            </w:r>
          </w:p>
        </w:tc>
        <w:tc>
          <w:tcPr>
            <w:tcW w:w="2410" w:type="dxa"/>
            <w:shd w:val="clear" w:color="auto" w:fill="auto"/>
            <w:vAlign w:val="top"/>
          </w:tcPr>
          <w:p w:rsidR="00EB4AA6" w:rsidRDefault="00EB4AA6" w:rsidP="00EB4AA6">
            <w:pPr>
              <w:spacing w:after="60"/>
            </w:pPr>
            <w:r>
              <w:t>Paid employment – 15 hours per week</w:t>
            </w:r>
          </w:p>
        </w:tc>
        <w:tc>
          <w:tcPr>
            <w:tcW w:w="1134" w:type="dxa"/>
            <w:shd w:val="clear" w:color="auto" w:fill="auto"/>
            <w:vAlign w:val="top"/>
          </w:tcPr>
          <w:p w:rsidR="00EB4AA6" w:rsidRPr="006A2A3D" w:rsidRDefault="00EB4AA6" w:rsidP="00EB4AA6">
            <w:pPr>
              <w:spacing w:after="60"/>
            </w:pPr>
            <w:r>
              <w:t>5,804,000</w:t>
            </w:r>
          </w:p>
        </w:tc>
        <w:tc>
          <w:tcPr>
            <w:tcW w:w="1300" w:type="dxa"/>
            <w:shd w:val="clear" w:color="auto" w:fill="auto"/>
            <w:vAlign w:val="top"/>
          </w:tcPr>
          <w:p w:rsidR="00EB4AA6" w:rsidRPr="00845F6D" w:rsidRDefault="00EB4AA6" w:rsidP="00EB4AA6">
            <w:pPr>
              <w:spacing w:after="60"/>
            </w:pPr>
            <w:r>
              <w:t>611,000</w:t>
            </w:r>
          </w:p>
        </w:tc>
        <w:tc>
          <w:tcPr>
            <w:tcW w:w="1217" w:type="dxa"/>
            <w:shd w:val="clear" w:color="auto" w:fill="auto"/>
            <w:vAlign w:val="top"/>
          </w:tcPr>
          <w:p w:rsidR="00EB4AA6" w:rsidRPr="006A2A3D" w:rsidRDefault="00EB4AA6" w:rsidP="00EB4AA6">
            <w:pPr>
              <w:spacing w:after="60"/>
            </w:pPr>
            <w:r>
              <w:t>6,415,000</w:t>
            </w:r>
          </w:p>
        </w:tc>
      </w:tr>
      <w:tr w:rsidR="00EB4AA6" w:rsidTr="002879C2">
        <w:tc>
          <w:tcPr>
            <w:tcW w:w="1526" w:type="dxa"/>
            <w:vAlign w:val="top"/>
          </w:tcPr>
          <w:p w:rsidR="00EB4AA6" w:rsidRDefault="00EB4AA6" w:rsidP="00EB4AA6">
            <w:pPr>
              <w:spacing w:after="60"/>
            </w:pPr>
            <w:r w:rsidRPr="003B46B5">
              <w:rPr>
                <w:b/>
              </w:rPr>
              <w:t>Employment</w:t>
            </w:r>
          </w:p>
        </w:tc>
        <w:tc>
          <w:tcPr>
            <w:tcW w:w="2551" w:type="dxa"/>
            <w:vAlign w:val="top"/>
          </w:tcPr>
          <w:p w:rsidR="00EB4AA6" w:rsidRPr="005A79DA" w:rsidRDefault="00EB4AA6" w:rsidP="00EB4AA6">
            <w:pPr>
              <w:spacing w:after="60"/>
            </w:pPr>
            <w:r w:rsidRPr="005A79DA">
              <w:t>Connecting with disability employment services</w:t>
            </w:r>
          </w:p>
        </w:tc>
        <w:tc>
          <w:tcPr>
            <w:tcW w:w="2410" w:type="dxa"/>
            <w:vAlign w:val="top"/>
          </w:tcPr>
          <w:p w:rsidR="00EB4AA6" w:rsidRDefault="00EB4AA6" w:rsidP="00EB4AA6">
            <w:pPr>
              <w:spacing w:after="60"/>
            </w:pPr>
            <w:r>
              <w:t>Paid employment – 15 hours per week</w:t>
            </w:r>
          </w:p>
        </w:tc>
        <w:tc>
          <w:tcPr>
            <w:tcW w:w="1134" w:type="dxa"/>
            <w:vAlign w:val="top"/>
          </w:tcPr>
          <w:p w:rsidR="00EB4AA6" w:rsidRPr="006A2A3D" w:rsidRDefault="00EB4AA6" w:rsidP="00EB4AA6">
            <w:pPr>
              <w:spacing w:after="60"/>
            </w:pPr>
            <w:r>
              <w:t>9,408,000</w:t>
            </w:r>
          </w:p>
        </w:tc>
        <w:tc>
          <w:tcPr>
            <w:tcW w:w="1300" w:type="dxa"/>
            <w:vAlign w:val="top"/>
          </w:tcPr>
          <w:p w:rsidR="00EB4AA6" w:rsidRPr="00845F6D" w:rsidRDefault="00EB4AA6" w:rsidP="00EB4AA6">
            <w:pPr>
              <w:spacing w:after="60"/>
            </w:pPr>
            <w:r>
              <w:t>1,914,000</w:t>
            </w:r>
          </w:p>
        </w:tc>
        <w:tc>
          <w:tcPr>
            <w:tcW w:w="1217" w:type="dxa"/>
            <w:vAlign w:val="top"/>
          </w:tcPr>
          <w:p w:rsidR="00EB4AA6" w:rsidRPr="006A2A3D" w:rsidRDefault="00EB4AA6" w:rsidP="00EB4AA6">
            <w:pPr>
              <w:spacing w:after="60"/>
            </w:pPr>
            <w:r>
              <w:t>11,322,000</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shd w:val="clear" w:color="auto" w:fill="auto"/>
            <w:vAlign w:val="top"/>
          </w:tcPr>
          <w:p w:rsidR="00EB4AA6" w:rsidRDefault="00EB4AA6" w:rsidP="00EB4AA6">
            <w:pPr>
              <w:spacing w:after="60"/>
            </w:pPr>
            <w:r w:rsidRPr="003B46B5">
              <w:rPr>
                <w:b/>
              </w:rPr>
              <w:t>Employment</w:t>
            </w:r>
          </w:p>
        </w:tc>
        <w:tc>
          <w:tcPr>
            <w:tcW w:w="2551" w:type="dxa"/>
            <w:shd w:val="clear" w:color="auto" w:fill="auto"/>
            <w:vAlign w:val="top"/>
          </w:tcPr>
          <w:p w:rsidR="00EB4AA6" w:rsidRPr="005A79DA" w:rsidRDefault="00EB4AA6" w:rsidP="00EB4AA6">
            <w:pPr>
              <w:spacing w:after="60"/>
            </w:pPr>
            <w:r w:rsidRPr="005A79DA">
              <w:t xml:space="preserve">Work </w:t>
            </w:r>
            <w:r>
              <w:t>e</w:t>
            </w:r>
            <w:r w:rsidRPr="005A79DA">
              <w:t>xperience</w:t>
            </w:r>
          </w:p>
        </w:tc>
        <w:tc>
          <w:tcPr>
            <w:tcW w:w="2410" w:type="dxa"/>
            <w:shd w:val="clear" w:color="auto" w:fill="auto"/>
            <w:vAlign w:val="top"/>
          </w:tcPr>
          <w:p w:rsidR="00EB4AA6" w:rsidRDefault="00EB4AA6" w:rsidP="00EB4AA6">
            <w:pPr>
              <w:spacing w:after="60"/>
            </w:pPr>
            <w:r>
              <w:t>Work experience – 15 hours per week</w:t>
            </w:r>
          </w:p>
        </w:tc>
        <w:tc>
          <w:tcPr>
            <w:tcW w:w="1134" w:type="dxa"/>
            <w:shd w:val="clear" w:color="auto" w:fill="auto"/>
            <w:vAlign w:val="top"/>
          </w:tcPr>
          <w:p w:rsidR="00EB4AA6" w:rsidRPr="006A2A3D" w:rsidRDefault="00EB4AA6" w:rsidP="00EB4AA6">
            <w:pPr>
              <w:spacing w:after="60"/>
            </w:pPr>
            <w:r>
              <w:t>1,169,000</w:t>
            </w:r>
          </w:p>
        </w:tc>
        <w:tc>
          <w:tcPr>
            <w:tcW w:w="1300" w:type="dxa"/>
            <w:shd w:val="clear" w:color="auto" w:fill="auto"/>
            <w:vAlign w:val="top"/>
          </w:tcPr>
          <w:p w:rsidR="00EB4AA6" w:rsidRPr="00845F6D" w:rsidRDefault="00EB4AA6" w:rsidP="00EB4AA6">
            <w:pPr>
              <w:spacing w:after="60"/>
            </w:pPr>
            <w:r>
              <w:t>95,000</w:t>
            </w:r>
          </w:p>
        </w:tc>
        <w:tc>
          <w:tcPr>
            <w:tcW w:w="1217" w:type="dxa"/>
            <w:shd w:val="clear" w:color="auto" w:fill="auto"/>
            <w:vAlign w:val="top"/>
          </w:tcPr>
          <w:p w:rsidR="00EB4AA6" w:rsidRPr="006A2A3D" w:rsidRDefault="00EB4AA6" w:rsidP="00EB4AA6">
            <w:pPr>
              <w:spacing w:after="60"/>
            </w:pPr>
            <w:r>
              <w:t>1,265,000</w:t>
            </w:r>
          </w:p>
        </w:tc>
      </w:tr>
      <w:tr w:rsidR="00EB4AA6" w:rsidTr="002879C2">
        <w:tc>
          <w:tcPr>
            <w:tcW w:w="1526" w:type="dxa"/>
            <w:vAlign w:val="top"/>
          </w:tcPr>
          <w:p w:rsidR="00EB4AA6" w:rsidRDefault="00EB4AA6" w:rsidP="00EB4AA6">
            <w:pPr>
              <w:spacing w:after="60"/>
            </w:pPr>
            <w:r w:rsidRPr="003B46B5">
              <w:rPr>
                <w:b/>
              </w:rPr>
              <w:t>Employment</w:t>
            </w:r>
          </w:p>
        </w:tc>
        <w:tc>
          <w:tcPr>
            <w:tcW w:w="2551" w:type="dxa"/>
            <w:vAlign w:val="top"/>
          </w:tcPr>
          <w:p w:rsidR="00EB4AA6" w:rsidRPr="005A79DA" w:rsidRDefault="00EB4AA6" w:rsidP="00EB4AA6">
            <w:pPr>
              <w:spacing w:after="60"/>
            </w:pPr>
            <w:r w:rsidRPr="005A79DA">
              <w:t>Volunteering</w:t>
            </w:r>
          </w:p>
        </w:tc>
        <w:tc>
          <w:tcPr>
            <w:tcW w:w="2410" w:type="dxa"/>
            <w:vAlign w:val="top"/>
          </w:tcPr>
          <w:p w:rsidR="00EB4AA6" w:rsidRDefault="00EB4AA6" w:rsidP="00EB4AA6">
            <w:pPr>
              <w:spacing w:after="60"/>
            </w:pPr>
            <w:r>
              <w:t>Volunteering – 2 hours per week</w:t>
            </w:r>
          </w:p>
        </w:tc>
        <w:tc>
          <w:tcPr>
            <w:tcW w:w="1134" w:type="dxa"/>
            <w:vAlign w:val="top"/>
          </w:tcPr>
          <w:p w:rsidR="00EB4AA6" w:rsidRPr="006A2A3D" w:rsidRDefault="00EB4AA6" w:rsidP="00EB4AA6">
            <w:pPr>
              <w:spacing w:after="60"/>
            </w:pPr>
            <w:r>
              <w:t>825,000</w:t>
            </w:r>
          </w:p>
        </w:tc>
        <w:tc>
          <w:tcPr>
            <w:tcW w:w="1300" w:type="dxa"/>
            <w:vAlign w:val="top"/>
          </w:tcPr>
          <w:p w:rsidR="00EB4AA6" w:rsidRPr="00845F6D" w:rsidRDefault="00EB4AA6" w:rsidP="00EB4AA6">
            <w:pPr>
              <w:spacing w:after="60"/>
            </w:pPr>
            <w:r>
              <w:t>49,000</w:t>
            </w:r>
          </w:p>
        </w:tc>
        <w:tc>
          <w:tcPr>
            <w:tcW w:w="1217" w:type="dxa"/>
            <w:vAlign w:val="top"/>
          </w:tcPr>
          <w:p w:rsidR="00EB4AA6" w:rsidRPr="006A2A3D" w:rsidRDefault="00EB4AA6" w:rsidP="00EB4AA6">
            <w:pPr>
              <w:spacing w:after="60"/>
            </w:pPr>
            <w:r>
              <w:t>874,000</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shd w:val="clear" w:color="auto" w:fill="auto"/>
            <w:vAlign w:val="top"/>
          </w:tcPr>
          <w:p w:rsidR="00EB4AA6" w:rsidRPr="003B46B5" w:rsidRDefault="00EB4AA6" w:rsidP="00EB4AA6">
            <w:pPr>
              <w:spacing w:after="60"/>
              <w:rPr>
                <w:b/>
              </w:rPr>
            </w:pPr>
            <w:r>
              <w:rPr>
                <w:b/>
              </w:rPr>
              <w:t>Education and training</w:t>
            </w:r>
          </w:p>
        </w:tc>
        <w:tc>
          <w:tcPr>
            <w:tcW w:w="2551" w:type="dxa"/>
            <w:shd w:val="clear" w:color="auto" w:fill="auto"/>
            <w:vAlign w:val="top"/>
          </w:tcPr>
          <w:p w:rsidR="00EB4AA6" w:rsidRPr="00E603EA" w:rsidRDefault="00EB4AA6" w:rsidP="00EB4AA6">
            <w:pPr>
              <w:spacing w:after="60"/>
            </w:pPr>
            <w:r w:rsidRPr="00E603EA">
              <w:t>Assistance identifying/ connecting to TAFE or University courses</w:t>
            </w:r>
          </w:p>
        </w:tc>
        <w:tc>
          <w:tcPr>
            <w:tcW w:w="2410" w:type="dxa"/>
            <w:shd w:val="clear" w:color="auto" w:fill="auto"/>
            <w:vAlign w:val="top"/>
          </w:tcPr>
          <w:p w:rsidR="00EB4AA6" w:rsidRDefault="00EB4AA6" w:rsidP="00EB4AA6">
            <w:pPr>
              <w:spacing w:after="60"/>
            </w:pPr>
            <w:r>
              <w:t>Incremental increase in lifetime earnings from completing TAFE</w:t>
            </w:r>
          </w:p>
        </w:tc>
        <w:tc>
          <w:tcPr>
            <w:tcW w:w="1134" w:type="dxa"/>
            <w:shd w:val="clear" w:color="auto" w:fill="auto"/>
            <w:vAlign w:val="top"/>
          </w:tcPr>
          <w:p w:rsidR="00EB4AA6" w:rsidRPr="006A2A3D" w:rsidRDefault="00EB4AA6" w:rsidP="00EB4AA6">
            <w:pPr>
              <w:spacing w:after="60"/>
            </w:pPr>
            <w:r>
              <w:t>4,385,000</w:t>
            </w:r>
          </w:p>
        </w:tc>
        <w:tc>
          <w:tcPr>
            <w:tcW w:w="1300" w:type="dxa"/>
            <w:shd w:val="clear" w:color="auto" w:fill="auto"/>
            <w:vAlign w:val="top"/>
          </w:tcPr>
          <w:p w:rsidR="00EB4AA6" w:rsidRPr="00845F6D" w:rsidRDefault="00EB4AA6" w:rsidP="00EB4AA6">
            <w:pPr>
              <w:spacing w:after="60"/>
            </w:pPr>
            <w:r>
              <w:t>198,000</w:t>
            </w:r>
          </w:p>
        </w:tc>
        <w:tc>
          <w:tcPr>
            <w:tcW w:w="1217" w:type="dxa"/>
            <w:shd w:val="clear" w:color="auto" w:fill="auto"/>
            <w:vAlign w:val="top"/>
          </w:tcPr>
          <w:p w:rsidR="00EB4AA6" w:rsidRPr="006A2A3D" w:rsidRDefault="00EB4AA6" w:rsidP="00EB4AA6">
            <w:pPr>
              <w:spacing w:after="60"/>
            </w:pPr>
            <w:r>
              <w:t>4,583,000</w:t>
            </w:r>
          </w:p>
        </w:tc>
      </w:tr>
      <w:tr w:rsidR="00EB4AA6" w:rsidTr="002879C2">
        <w:tc>
          <w:tcPr>
            <w:tcW w:w="1526" w:type="dxa"/>
            <w:vAlign w:val="top"/>
          </w:tcPr>
          <w:p w:rsidR="00EB4AA6" w:rsidRDefault="00EB4AA6" w:rsidP="00EB4AA6">
            <w:pPr>
              <w:spacing w:after="60"/>
              <w:rPr>
                <w:b/>
              </w:rPr>
            </w:pPr>
            <w:r>
              <w:rPr>
                <w:b/>
              </w:rPr>
              <w:t>Education and training</w:t>
            </w:r>
          </w:p>
        </w:tc>
        <w:tc>
          <w:tcPr>
            <w:tcW w:w="2551" w:type="dxa"/>
            <w:vAlign w:val="top"/>
          </w:tcPr>
          <w:p w:rsidR="00EB4AA6" w:rsidRPr="00E603EA" w:rsidRDefault="00EB4AA6" w:rsidP="00EB4AA6">
            <w:pPr>
              <w:spacing w:after="60"/>
            </w:pPr>
            <w:r w:rsidRPr="00E603EA">
              <w:t>Training activities related to employment</w:t>
            </w:r>
          </w:p>
        </w:tc>
        <w:tc>
          <w:tcPr>
            <w:tcW w:w="2410" w:type="dxa"/>
            <w:vAlign w:val="top"/>
          </w:tcPr>
          <w:p w:rsidR="00EB4AA6" w:rsidRDefault="00EB4AA6" w:rsidP="00EB4AA6">
            <w:pPr>
              <w:spacing w:after="60"/>
            </w:pPr>
            <w:r>
              <w:t>Economic value of training activities</w:t>
            </w:r>
          </w:p>
        </w:tc>
        <w:tc>
          <w:tcPr>
            <w:tcW w:w="1134" w:type="dxa"/>
            <w:vAlign w:val="top"/>
          </w:tcPr>
          <w:p w:rsidR="00EB4AA6" w:rsidRPr="006A2A3D" w:rsidRDefault="00EB4AA6" w:rsidP="00EB4AA6">
            <w:pPr>
              <w:spacing w:after="60"/>
            </w:pPr>
            <w:r>
              <w:t>55,000</w:t>
            </w:r>
          </w:p>
        </w:tc>
        <w:tc>
          <w:tcPr>
            <w:tcW w:w="1300" w:type="dxa"/>
            <w:vAlign w:val="top"/>
          </w:tcPr>
          <w:p w:rsidR="00EB4AA6" w:rsidRPr="00845F6D" w:rsidRDefault="00EB4AA6" w:rsidP="00EB4AA6">
            <w:pPr>
              <w:spacing w:after="60"/>
            </w:pPr>
            <w:r>
              <w:t>12,000</w:t>
            </w:r>
          </w:p>
        </w:tc>
        <w:tc>
          <w:tcPr>
            <w:tcW w:w="1217" w:type="dxa"/>
            <w:vAlign w:val="top"/>
          </w:tcPr>
          <w:p w:rsidR="00EB4AA6" w:rsidRPr="006A2A3D" w:rsidRDefault="00EB4AA6" w:rsidP="00EB4AA6">
            <w:pPr>
              <w:spacing w:after="60"/>
            </w:pPr>
            <w:r>
              <w:t>67,000</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shd w:val="clear" w:color="auto" w:fill="auto"/>
            <w:vAlign w:val="top"/>
          </w:tcPr>
          <w:p w:rsidR="00EB4AA6" w:rsidRDefault="00EB4AA6" w:rsidP="00EB4AA6">
            <w:pPr>
              <w:spacing w:after="60"/>
              <w:rPr>
                <w:b/>
              </w:rPr>
            </w:pPr>
            <w:r>
              <w:rPr>
                <w:b/>
              </w:rPr>
              <w:t>Service engagement</w:t>
            </w:r>
          </w:p>
        </w:tc>
        <w:tc>
          <w:tcPr>
            <w:tcW w:w="2551" w:type="dxa"/>
            <w:shd w:val="clear" w:color="auto" w:fill="auto"/>
            <w:vAlign w:val="top"/>
          </w:tcPr>
          <w:p w:rsidR="00EB4AA6" w:rsidRDefault="00EB4AA6" w:rsidP="00EB4AA6">
            <w:pPr>
              <w:spacing w:after="60"/>
            </w:pPr>
            <w:r>
              <w:t>Access to mainstream services and specialist disability support</w:t>
            </w:r>
          </w:p>
        </w:tc>
        <w:tc>
          <w:tcPr>
            <w:tcW w:w="2410" w:type="dxa"/>
            <w:shd w:val="clear" w:color="auto" w:fill="auto"/>
            <w:vAlign w:val="top"/>
          </w:tcPr>
          <w:p w:rsidR="00EB4AA6" w:rsidRDefault="00EB4AA6" w:rsidP="00EB4AA6">
            <w:pPr>
              <w:spacing w:after="60"/>
            </w:pPr>
            <w:r>
              <w:t>Reduction in search costs</w:t>
            </w:r>
          </w:p>
        </w:tc>
        <w:tc>
          <w:tcPr>
            <w:tcW w:w="1134" w:type="dxa"/>
            <w:shd w:val="clear" w:color="auto" w:fill="auto"/>
            <w:vAlign w:val="top"/>
          </w:tcPr>
          <w:p w:rsidR="00EB4AA6" w:rsidRPr="006A2A3D" w:rsidRDefault="00EB4AA6" w:rsidP="00EB4AA6">
            <w:pPr>
              <w:spacing w:after="60"/>
            </w:pPr>
            <w:r>
              <w:t>3,568,000</w:t>
            </w:r>
          </w:p>
        </w:tc>
        <w:tc>
          <w:tcPr>
            <w:tcW w:w="1300" w:type="dxa"/>
            <w:shd w:val="clear" w:color="auto" w:fill="auto"/>
            <w:vAlign w:val="top"/>
          </w:tcPr>
          <w:p w:rsidR="00EB4AA6" w:rsidRPr="00845F6D" w:rsidRDefault="00EB4AA6" w:rsidP="00EB4AA6">
            <w:pPr>
              <w:spacing w:after="60"/>
            </w:pPr>
            <w:r>
              <w:t>3,008,000</w:t>
            </w:r>
          </w:p>
        </w:tc>
        <w:tc>
          <w:tcPr>
            <w:tcW w:w="1217" w:type="dxa"/>
            <w:shd w:val="clear" w:color="auto" w:fill="auto"/>
            <w:vAlign w:val="top"/>
          </w:tcPr>
          <w:p w:rsidR="00EB4AA6" w:rsidRPr="006A2A3D" w:rsidRDefault="00EB4AA6" w:rsidP="00EB4AA6">
            <w:pPr>
              <w:spacing w:after="60"/>
            </w:pPr>
            <w:r>
              <w:t>6,576,000</w:t>
            </w:r>
          </w:p>
        </w:tc>
      </w:tr>
      <w:tr w:rsidR="00EB4AA6" w:rsidTr="002879C2">
        <w:tc>
          <w:tcPr>
            <w:tcW w:w="1526" w:type="dxa"/>
            <w:vAlign w:val="top"/>
          </w:tcPr>
          <w:p w:rsidR="00EB4AA6" w:rsidRDefault="00EB4AA6" w:rsidP="00EB4AA6">
            <w:pPr>
              <w:spacing w:after="60"/>
              <w:rPr>
                <w:b/>
              </w:rPr>
            </w:pPr>
            <w:r>
              <w:rPr>
                <w:b/>
              </w:rPr>
              <w:t>Family and carers*</w:t>
            </w:r>
          </w:p>
        </w:tc>
        <w:tc>
          <w:tcPr>
            <w:tcW w:w="2551" w:type="dxa"/>
            <w:vAlign w:val="top"/>
          </w:tcPr>
          <w:p w:rsidR="00EB4AA6" w:rsidRDefault="00EB4AA6" w:rsidP="00EB4AA6">
            <w:pPr>
              <w:spacing w:after="60"/>
            </w:pPr>
            <w:r>
              <w:t>Reduced reliance on family/volunteer care</w:t>
            </w:r>
          </w:p>
        </w:tc>
        <w:tc>
          <w:tcPr>
            <w:tcW w:w="2410" w:type="dxa"/>
            <w:vAlign w:val="top"/>
          </w:tcPr>
          <w:p w:rsidR="00EB4AA6" w:rsidRDefault="00EB4AA6" w:rsidP="00EB4AA6">
            <w:pPr>
              <w:spacing w:after="60"/>
            </w:pPr>
            <w:r>
              <w:t>Increase in consumer welfare</w:t>
            </w:r>
          </w:p>
        </w:tc>
        <w:tc>
          <w:tcPr>
            <w:tcW w:w="1134" w:type="dxa"/>
            <w:vAlign w:val="top"/>
          </w:tcPr>
          <w:p w:rsidR="00EB4AA6" w:rsidRPr="006A2A3D" w:rsidRDefault="00EB4AA6" w:rsidP="00EB4AA6">
            <w:pPr>
              <w:spacing w:after="60"/>
            </w:pPr>
            <w:r>
              <w:t>4,607,000</w:t>
            </w:r>
          </w:p>
        </w:tc>
        <w:tc>
          <w:tcPr>
            <w:tcW w:w="1300" w:type="dxa"/>
            <w:vAlign w:val="top"/>
          </w:tcPr>
          <w:p w:rsidR="00EB4AA6" w:rsidRPr="00845F6D" w:rsidRDefault="00EB4AA6" w:rsidP="00EB4AA6">
            <w:pPr>
              <w:spacing w:after="60"/>
            </w:pPr>
            <w:r>
              <w:t>10,081,000</w:t>
            </w:r>
          </w:p>
        </w:tc>
        <w:tc>
          <w:tcPr>
            <w:tcW w:w="1217" w:type="dxa"/>
            <w:vAlign w:val="top"/>
          </w:tcPr>
          <w:p w:rsidR="00EB4AA6" w:rsidRPr="006A2A3D" w:rsidRDefault="00EB4AA6" w:rsidP="00EB4AA6">
            <w:pPr>
              <w:spacing w:after="60"/>
            </w:pPr>
            <w:r>
              <w:t>14,689,000</w:t>
            </w:r>
          </w:p>
        </w:tc>
      </w:tr>
      <w:tr w:rsidR="00EB4AA6" w:rsidTr="002879C2">
        <w:trPr>
          <w:cnfStyle w:val="000000100000" w:firstRow="0" w:lastRow="0" w:firstColumn="0" w:lastColumn="0" w:oddVBand="0" w:evenVBand="0" w:oddHBand="1" w:evenHBand="0" w:firstRowFirstColumn="0" w:firstRowLastColumn="0" w:lastRowFirstColumn="0" w:lastRowLastColumn="0"/>
        </w:trPr>
        <w:tc>
          <w:tcPr>
            <w:tcW w:w="1526" w:type="dxa"/>
            <w:shd w:val="clear" w:color="auto" w:fill="auto"/>
            <w:vAlign w:val="top"/>
          </w:tcPr>
          <w:p w:rsidR="00EB4AA6" w:rsidRDefault="00EB4AA6" w:rsidP="00EB4AA6">
            <w:pPr>
              <w:spacing w:after="60"/>
              <w:rPr>
                <w:b/>
              </w:rPr>
            </w:pPr>
            <w:r w:rsidRPr="00371725">
              <w:rPr>
                <w:b/>
              </w:rPr>
              <w:t>Total economic benefits</w:t>
            </w:r>
          </w:p>
        </w:tc>
        <w:tc>
          <w:tcPr>
            <w:tcW w:w="2551" w:type="dxa"/>
            <w:shd w:val="clear" w:color="auto" w:fill="auto"/>
            <w:vAlign w:val="top"/>
          </w:tcPr>
          <w:p w:rsidR="00EB4AA6" w:rsidRDefault="009A2A2B" w:rsidP="00EB4AA6">
            <w:pPr>
              <w:spacing w:after="60"/>
            </w:pPr>
            <w:r>
              <w:t>-</w:t>
            </w:r>
          </w:p>
        </w:tc>
        <w:tc>
          <w:tcPr>
            <w:tcW w:w="2410" w:type="dxa"/>
            <w:shd w:val="clear" w:color="auto" w:fill="auto"/>
            <w:vAlign w:val="top"/>
          </w:tcPr>
          <w:p w:rsidR="00EB4AA6" w:rsidRDefault="009A2A2B" w:rsidP="00EB4AA6">
            <w:pPr>
              <w:spacing w:after="60"/>
            </w:pPr>
            <w:r>
              <w:t>-</w:t>
            </w:r>
          </w:p>
        </w:tc>
        <w:tc>
          <w:tcPr>
            <w:tcW w:w="1134" w:type="dxa"/>
            <w:shd w:val="clear" w:color="auto" w:fill="auto"/>
            <w:vAlign w:val="top"/>
          </w:tcPr>
          <w:p w:rsidR="00EB4AA6" w:rsidRPr="00CA794C" w:rsidRDefault="00EB4AA6" w:rsidP="00EB4AA6">
            <w:pPr>
              <w:spacing w:after="60"/>
              <w:rPr>
                <w:b/>
              </w:rPr>
            </w:pPr>
            <w:r>
              <w:rPr>
                <w:b/>
              </w:rPr>
              <w:t>29,855,000</w:t>
            </w:r>
          </w:p>
        </w:tc>
        <w:tc>
          <w:tcPr>
            <w:tcW w:w="1300" w:type="dxa"/>
            <w:shd w:val="clear" w:color="auto" w:fill="auto"/>
            <w:vAlign w:val="top"/>
          </w:tcPr>
          <w:p w:rsidR="00EB4AA6" w:rsidRPr="00CA794C" w:rsidRDefault="00EB4AA6" w:rsidP="00EB4AA6">
            <w:pPr>
              <w:spacing w:after="60"/>
              <w:rPr>
                <w:b/>
              </w:rPr>
            </w:pPr>
            <w:r>
              <w:rPr>
                <w:b/>
              </w:rPr>
              <w:t>15,974,000</w:t>
            </w:r>
          </w:p>
        </w:tc>
        <w:tc>
          <w:tcPr>
            <w:tcW w:w="1217" w:type="dxa"/>
            <w:shd w:val="clear" w:color="auto" w:fill="auto"/>
            <w:vAlign w:val="top"/>
          </w:tcPr>
          <w:p w:rsidR="00EB4AA6" w:rsidRPr="00CA794C" w:rsidRDefault="00EB4AA6" w:rsidP="00EB4AA6">
            <w:pPr>
              <w:spacing w:after="60"/>
              <w:rPr>
                <w:b/>
              </w:rPr>
            </w:pPr>
            <w:r>
              <w:rPr>
                <w:b/>
              </w:rPr>
              <w:t>45,830,000</w:t>
            </w:r>
          </w:p>
        </w:tc>
      </w:tr>
    </w:tbl>
    <w:p w:rsidR="00D14BF8" w:rsidRPr="00371725" w:rsidRDefault="00D14BF8" w:rsidP="00D14BF8">
      <w:pPr>
        <w:rPr>
          <w:sz w:val="18"/>
        </w:rPr>
      </w:pPr>
      <w:r w:rsidRPr="00371725">
        <w:rPr>
          <w:sz w:val="18"/>
        </w:rPr>
        <w:t xml:space="preserve">* </w:t>
      </w:r>
      <w:proofErr w:type="gramStart"/>
      <w:r w:rsidRPr="00371725">
        <w:rPr>
          <w:sz w:val="18"/>
        </w:rPr>
        <w:t>not</w:t>
      </w:r>
      <w:proofErr w:type="gramEnd"/>
      <w:r w:rsidRPr="00371725">
        <w:rPr>
          <w:sz w:val="18"/>
        </w:rPr>
        <w:t xml:space="preserve"> captured in NSW FACS outcomes data</w:t>
      </w:r>
      <w:r w:rsidRPr="00371725">
        <w:rPr>
          <w:sz w:val="18"/>
        </w:rPr>
        <w:br/>
        <w:t>Note: totals may not add due to rounding</w:t>
      </w:r>
    </w:p>
    <w:p w:rsidR="00D14BF8" w:rsidRPr="003B7DC4" w:rsidRDefault="00D14BF8" w:rsidP="00D14BF8">
      <w:pPr>
        <w:pStyle w:val="Heading2"/>
        <w:tabs>
          <w:tab w:val="clear" w:pos="851"/>
        </w:tabs>
        <w:spacing w:before="360"/>
        <w:rPr>
          <w:iCs w:val="0"/>
        </w:rPr>
      </w:pPr>
      <w:bookmarkStart w:id="148" w:name="_Toc465259724"/>
      <w:bookmarkStart w:id="149" w:name="_Toc467133528"/>
      <w:r w:rsidRPr="003B7DC4">
        <w:rPr>
          <w:iCs w:val="0"/>
        </w:rPr>
        <w:t>Social benefits</w:t>
      </w:r>
      <w:bookmarkEnd w:id="148"/>
      <w:bookmarkEnd w:id="149"/>
    </w:p>
    <w:p w:rsidR="00D14BF8" w:rsidRPr="00770791" w:rsidRDefault="00D14BF8" w:rsidP="00770791">
      <w:pPr>
        <w:spacing w:before="0" w:after="0"/>
        <w:rPr>
          <w:rFonts w:cs="Courier New"/>
          <w:b/>
          <w:bCs/>
          <w:color w:val="404040"/>
        </w:rPr>
      </w:pPr>
      <w:r>
        <w:t xml:space="preserve">This section details the total value of social benefits accrued from all individual outcomes, presented in NPV terms. </w:t>
      </w:r>
      <w:r w:rsidR="00963F4C">
        <w:t>Refer to</w:t>
      </w:r>
      <w:r>
        <w:t xml:space="preserve"> </w:t>
      </w:r>
      <w:r w:rsidR="00FF6538">
        <w:fldChar w:fldCharType="begin"/>
      </w:r>
      <w:r w:rsidR="00FF6538">
        <w:instrText xml:space="preserve"> REF _Ref460485681 \h </w:instrText>
      </w:r>
      <w:r w:rsidR="00FF6538">
        <w:fldChar w:fldCharType="separate"/>
      </w:r>
      <w:r w:rsidR="00770791" w:rsidRPr="003B7DC4">
        <w:t xml:space="preserve">Table </w:t>
      </w:r>
      <w:r w:rsidR="00770791">
        <w:rPr>
          <w:noProof/>
        </w:rPr>
        <w:t>3</w:t>
      </w:r>
      <w:r w:rsidR="00770791" w:rsidRPr="003B7DC4">
        <w:noBreakHyphen/>
      </w:r>
      <w:r w:rsidR="00770791">
        <w:rPr>
          <w:noProof/>
        </w:rPr>
        <w:t>5</w:t>
      </w:r>
      <w:r w:rsidR="00FF6538">
        <w:fldChar w:fldCharType="end"/>
      </w:r>
      <w:r w:rsidR="00FF6538">
        <w:t xml:space="preserve"> </w:t>
      </w:r>
      <w:r>
        <w:t>following.</w:t>
      </w:r>
    </w:p>
    <w:p w:rsidR="00D14BF8" w:rsidRDefault="00D14BF8" w:rsidP="00D14BF8">
      <w:pPr>
        <w:rPr>
          <w:b/>
          <w:bCs/>
          <w:sz w:val="16"/>
          <w:szCs w:val="16"/>
        </w:rPr>
      </w:pPr>
      <w:bookmarkStart w:id="150" w:name="_Ref459276045"/>
      <w:r>
        <w:t>Total social benefits across both ALNSW and ELNSW are $81.</w:t>
      </w:r>
      <w:r w:rsidR="00330772">
        <w:t>5</w:t>
      </w:r>
      <w:r>
        <w:t xml:space="preserve"> million in NPV terms. </w:t>
      </w:r>
      <w:r w:rsidRPr="00003D61">
        <w:t>Of this, $48.1</w:t>
      </w:r>
      <w:r w:rsidR="003B7DC4">
        <w:t xml:space="preserve"> </w:t>
      </w:r>
      <w:r w:rsidRPr="00003D61">
        <w:t>million (59%) came from ALNSW, with $33.</w:t>
      </w:r>
      <w:r w:rsidR="00330772">
        <w:t>4</w:t>
      </w:r>
      <w:r w:rsidRPr="00003D61">
        <w:t xml:space="preserve"> million (41%) from ELNSW.</w:t>
      </w:r>
    </w:p>
    <w:p w:rsidR="00DE5B35" w:rsidRDefault="00DE5B35">
      <w:pPr>
        <w:spacing w:before="0" w:after="0"/>
        <w:rPr>
          <w:rFonts w:cs="Courier New"/>
          <w:b/>
          <w:bCs/>
          <w:color w:val="404040"/>
        </w:rPr>
      </w:pPr>
      <w:bookmarkStart w:id="151" w:name="_Ref460485681"/>
      <w:bookmarkStart w:id="152" w:name="_Toc466025152"/>
      <w:r>
        <w:br w:type="page"/>
      </w:r>
    </w:p>
    <w:p w:rsidR="00D14BF8" w:rsidRPr="003B7DC4" w:rsidRDefault="00D14BF8" w:rsidP="00D14BF8">
      <w:pPr>
        <w:pStyle w:val="Caption"/>
        <w:rPr>
          <w:sz w:val="20"/>
          <w:szCs w:val="20"/>
        </w:rPr>
      </w:pPr>
      <w:bookmarkStart w:id="153" w:name="_Toc467137555"/>
      <w:r w:rsidRPr="003B7DC4">
        <w:rPr>
          <w:sz w:val="20"/>
          <w:szCs w:val="20"/>
        </w:rPr>
        <w:lastRenderedPageBreak/>
        <w:t xml:space="preserve">Table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3</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5</w:t>
      </w:r>
      <w:r w:rsidRPr="003B7DC4">
        <w:rPr>
          <w:noProof/>
          <w:sz w:val="20"/>
          <w:szCs w:val="20"/>
        </w:rPr>
        <w:fldChar w:fldCharType="end"/>
      </w:r>
      <w:bookmarkEnd w:id="150"/>
      <w:bookmarkEnd w:id="151"/>
      <w:r w:rsidRPr="003B7DC4">
        <w:rPr>
          <w:sz w:val="20"/>
          <w:szCs w:val="20"/>
        </w:rPr>
        <w:t xml:space="preserve"> – Social benefits of individual outcomes (2015-16 to 2024-25)</w:t>
      </w:r>
      <w:bookmarkEnd w:id="152"/>
      <w:bookmarkEnd w:id="153"/>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value (in NPV) of the different social benefits"/>
      </w:tblPr>
      <w:tblGrid>
        <w:gridCol w:w="1499"/>
        <w:gridCol w:w="2608"/>
        <w:gridCol w:w="1814"/>
        <w:gridCol w:w="1217"/>
        <w:gridCol w:w="1217"/>
        <w:gridCol w:w="1217"/>
      </w:tblGrid>
      <w:tr w:rsidR="003E0451" w:rsidRPr="003E0451" w:rsidTr="003E0451">
        <w:trPr>
          <w:cnfStyle w:val="100000000000" w:firstRow="1" w:lastRow="0" w:firstColumn="0" w:lastColumn="0" w:oddVBand="0" w:evenVBand="0" w:oddHBand="0" w:evenHBand="0" w:firstRowFirstColumn="0" w:firstRowLastColumn="0" w:lastRowFirstColumn="0" w:lastRowLastColumn="0"/>
          <w:tblHeader/>
        </w:trPr>
        <w:tc>
          <w:tcPr>
            <w:tcW w:w="149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B72C43">
            <w:pPr>
              <w:spacing w:after="60"/>
              <w:rPr>
                <w:b/>
                <w:color w:val="auto"/>
              </w:rPr>
            </w:pPr>
            <w:bookmarkStart w:id="154" w:name="ColumnTitle_Table4_5"/>
            <w:bookmarkEnd w:id="154"/>
            <w:r w:rsidRPr="003E0451">
              <w:rPr>
                <w:b/>
                <w:color w:val="auto"/>
              </w:rPr>
              <w:t>Type of Outcome</w:t>
            </w:r>
          </w:p>
        </w:tc>
        <w:tc>
          <w:tcPr>
            <w:tcW w:w="26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FF6538">
            <w:pPr>
              <w:spacing w:after="60"/>
              <w:rPr>
                <w:b/>
                <w:color w:val="auto"/>
              </w:rPr>
            </w:pPr>
            <w:r w:rsidRPr="003E0451">
              <w:rPr>
                <w:b/>
                <w:color w:val="auto"/>
              </w:rPr>
              <w:t>Details of Outcome</w:t>
            </w:r>
          </w:p>
        </w:tc>
        <w:tc>
          <w:tcPr>
            <w:tcW w:w="18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FF6538">
            <w:pPr>
              <w:spacing w:after="60"/>
              <w:rPr>
                <w:b/>
                <w:color w:val="auto"/>
              </w:rPr>
            </w:pPr>
            <w:r w:rsidRPr="003E0451">
              <w:rPr>
                <w:b/>
                <w:color w:val="auto"/>
              </w:rPr>
              <w:t>Benefit</w:t>
            </w:r>
          </w:p>
        </w:tc>
        <w:tc>
          <w:tcPr>
            <w:tcW w:w="12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FF6538">
            <w:pPr>
              <w:spacing w:after="60"/>
              <w:rPr>
                <w:b/>
                <w:color w:val="auto"/>
              </w:rPr>
            </w:pPr>
            <w:r w:rsidRPr="003E0451">
              <w:rPr>
                <w:b/>
                <w:color w:val="auto"/>
              </w:rPr>
              <w:t>AL NPV (2016 $)</w:t>
            </w:r>
          </w:p>
        </w:tc>
        <w:tc>
          <w:tcPr>
            <w:tcW w:w="12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FF6538">
            <w:pPr>
              <w:spacing w:after="60"/>
              <w:rPr>
                <w:b/>
                <w:color w:val="auto"/>
              </w:rPr>
            </w:pPr>
            <w:r w:rsidRPr="003E0451">
              <w:rPr>
                <w:b/>
                <w:color w:val="auto"/>
              </w:rPr>
              <w:t>EL NPV</w:t>
            </w:r>
            <w:r w:rsidR="003E0451">
              <w:rPr>
                <w:b/>
                <w:color w:val="auto"/>
              </w:rPr>
              <w:t xml:space="preserve"> </w:t>
            </w:r>
            <w:r w:rsidR="003E0451" w:rsidRPr="003E0451">
              <w:rPr>
                <w:b/>
                <w:color w:val="auto"/>
              </w:rPr>
              <w:t>(2016 $)</w:t>
            </w:r>
          </w:p>
        </w:tc>
        <w:tc>
          <w:tcPr>
            <w:tcW w:w="12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B72C43" w:rsidRPr="003E0451" w:rsidRDefault="00B72C43" w:rsidP="00FF6538">
            <w:pPr>
              <w:spacing w:after="60"/>
              <w:rPr>
                <w:b/>
                <w:color w:val="auto"/>
              </w:rPr>
            </w:pPr>
            <w:r w:rsidRPr="003E0451">
              <w:rPr>
                <w:b/>
                <w:color w:val="auto"/>
              </w:rPr>
              <w:t>Total NPV</w:t>
            </w:r>
            <w:r w:rsidR="003E0451">
              <w:rPr>
                <w:b/>
                <w:color w:val="auto"/>
              </w:rPr>
              <w:t xml:space="preserve"> </w:t>
            </w:r>
            <w:r w:rsidR="003E0451" w:rsidRPr="003E0451">
              <w:rPr>
                <w:b/>
                <w:color w:val="auto"/>
              </w:rPr>
              <w:t>(2016 $)</w:t>
            </w:r>
          </w:p>
        </w:tc>
      </w:tr>
      <w:tr w:rsidR="00B72C43" w:rsidRPr="00845F6D" w:rsidTr="003E0451">
        <w:trPr>
          <w:cnfStyle w:val="000000100000" w:firstRow="0" w:lastRow="0" w:firstColumn="0" w:lastColumn="0" w:oddVBand="0" w:evenVBand="0" w:oddHBand="1" w:evenHBand="0" w:firstRowFirstColumn="0" w:firstRowLastColumn="0" w:lastRowFirstColumn="0" w:lastRowLastColumn="0"/>
        </w:trPr>
        <w:tc>
          <w:tcPr>
            <w:tcW w:w="1499" w:type="dxa"/>
            <w:tcBorders>
              <w:top w:val="single" w:sz="18" w:space="0" w:color="808080" w:themeColor="background1" w:themeShade="80"/>
            </w:tcBorders>
            <w:shd w:val="clear" w:color="auto" w:fill="auto"/>
          </w:tcPr>
          <w:p w:rsidR="00B72C43" w:rsidRPr="00845F6D" w:rsidRDefault="00B72C43" w:rsidP="00FF6538">
            <w:pPr>
              <w:spacing w:after="60"/>
            </w:pPr>
            <w:r w:rsidRPr="00FF6538">
              <w:rPr>
                <w:b/>
              </w:rPr>
              <w:t>Employment</w:t>
            </w:r>
          </w:p>
        </w:tc>
        <w:tc>
          <w:tcPr>
            <w:tcW w:w="2608" w:type="dxa"/>
            <w:tcBorders>
              <w:top w:val="single" w:sz="18" w:space="0" w:color="808080" w:themeColor="background1" w:themeShade="80"/>
            </w:tcBorders>
            <w:shd w:val="clear" w:color="auto" w:fill="auto"/>
            <w:vAlign w:val="top"/>
          </w:tcPr>
          <w:p w:rsidR="00B72C43" w:rsidRPr="00845F6D" w:rsidRDefault="00B72C43" w:rsidP="00FF6538">
            <w:pPr>
              <w:spacing w:after="60"/>
            </w:pPr>
            <w:r w:rsidRPr="00845F6D">
              <w:t>Small business/entrepreneurial advice/grants information</w:t>
            </w:r>
          </w:p>
          <w:p w:rsidR="00B72C43" w:rsidRPr="00845F6D" w:rsidRDefault="00B72C43" w:rsidP="00FF6538">
            <w:pPr>
              <w:spacing w:after="60"/>
            </w:pPr>
            <w:r w:rsidRPr="00845F6D">
              <w:t>Skills development support</w:t>
            </w:r>
          </w:p>
        </w:tc>
        <w:tc>
          <w:tcPr>
            <w:tcW w:w="1814" w:type="dxa"/>
            <w:tcBorders>
              <w:top w:val="single" w:sz="18" w:space="0" w:color="808080" w:themeColor="background1" w:themeShade="80"/>
            </w:tcBorders>
            <w:shd w:val="clear" w:color="auto" w:fill="auto"/>
            <w:vAlign w:val="top"/>
          </w:tcPr>
          <w:p w:rsidR="00B72C43" w:rsidRPr="00845F6D" w:rsidRDefault="00B72C43" w:rsidP="00FF6538">
            <w:pPr>
              <w:spacing w:after="60"/>
            </w:pPr>
            <w:r w:rsidRPr="00845F6D">
              <w:t>Increased self esteem</w:t>
            </w:r>
          </w:p>
          <w:p w:rsidR="00B72C43" w:rsidRPr="00845F6D" w:rsidRDefault="00B72C43" w:rsidP="00FF6538">
            <w:pPr>
              <w:spacing w:after="60"/>
            </w:pPr>
            <w:r w:rsidRPr="00845F6D">
              <w:t>Improved social capital</w:t>
            </w:r>
          </w:p>
        </w:tc>
        <w:tc>
          <w:tcPr>
            <w:tcW w:w="1217" w:type="dxa"/>
            <w:tcBorders>
              <w:top w:val="single" w:sz="18" w:space="0" w:color="808080" w:themeColor="background1" w:themeShade="80"/>
            </w:tcBorders>
            <w:shd w:val="clear" w:color="auto" w:fill="auto"/>
            <w:vAlign w:val="top"/>
          </w:tcPr>
          <w:p w:rsidR="00B72C43" w:rsidRPr="00845F6D" w:rsidRDefault="00B72C43" w:rsidP="00FF6538">
            <w:pPr>
              <w:spacing w:after="60"/>
            </w:pPr>
            <w:r>
              <w:t>1,466,000</w:t>
            </w:r>
          </w:p>
        </w:tc>
        <w:tc>
          <w:tcPr>
            <w:tcW w:w="1217" w:type="dxa"/>
            <w:tcBorders>
              <w:top w:val="single" w:sz="18" w:space="0" w:color="808080" w:themeColor="background1" w:themeShade="80"/>
            </w:tcBorders>
            <w:shd w:val="clear" w:color="auto" w:fill="auto"/>
            <w:vAlign w:val="top"/>
          </w:tcPr>
          <w:p w:rsidR="00B72C43" w:rsidRPr="00845F6D" w:rsidRDefault="00B72C43" w:rsidP="00FF6538">
            <w:pPr>
              <w:spacing w:after="60"/>
            </w:pPr>
            <w:r>
              <w:t>288,000</w:t>
            </w:r>
          </w:p>
        </w:tc>
        <w:tc>
          <w:tcPr>
            <w:tcW w:w="1217" w:type="dxa"/>
            <w:tcBorders>
              <w:top w:val="single" w:sz="18" w:space="0" w:color="808080" w:themeColor="background1" w:themeShade="80"/>
            </w:tcBorders>
            <w:shd w:val="clear" w:color="auto" w:fill="auto"/>
            <w:vAlign w:val="top"/>
          </w:tcPr>
          <w:p w:rsidR="00B72C43" w:rsidRPr="00845F6D" w:rsidRDefault="00B72C43" w:rsidP="00FF6538">
            <w:pPr>
              <w:spacing w:after="60"/>
            </w:pPr>
            <w:r>
              <w:t>1,754,000</w:t>
            </w:r>
          </w:p>
        </w:tc>
      </w:tr>
      <w:tr w:rsidR="00B72C43" w:rsidRPr="00845F6D" w:rsidTr="003E0451">
        <w:tc>
          <w:tcPr>
            <w:tcW w:w="1499" w:type="dxa"/>
          </w:tcPr>
          <w:p w:rsidR="00B72C43" w:rsidRPr="00845F6D" w:rsidRDefault="003E0451" w:rsidP="00FF6538">
            <w:pPr>
              <w:spacing w:after="60"/>
            </w:pPr>
            <w:r w:rsidRPr="00FF6538">
              <w:rPr>
                <w:b/>
              </w:rPr>
              <w:t>Employment</w:t>
            </w:r>
          </w:p>
        </w:tc>
        <w:tc>
          <w:tcPr>
            <w:tcW w:w="2608" w:type="dxa"/>
            <w:vAlign w:val="top"/>
          </w:tcPr>
          <w:p w:rsidR="00B72C43" w:rsidRPr="00845F6D" w:rsidRDefault="00B72C43" w:rsidP="00FF6538">
            <w:pPr>
              <w:spacing w:after="60"/>
            </w:pPr>
            <w:r w:rsidRPr="00845F6D">
              <w:t>Assistance negotiating/liaising with employers to secure employment</w:t>
            </w:r>
          </w:p>
        </w:tc>
        <w:tc>
          <w:tcPr>
            <w:tcW w:w="1814" w:type="dxa"/>
            <w:vAlign w:val="top"/>
          </w:tcPr>
          <w:p w:rsidR="00B72C43" w:rsidRPr="00845F6D" w:rsidRDefault="00B72C43" w:rsidP="00FF6538">
            <w:pPr>
              <w:spacing w:after="60"/>
            </w:pPr>
            <w:r w:rsidRPr="00845F6D">
              <w:t>Increased self esteem</w:t>
            </w:r>
          </w:p>
          <w:p w:rsidR="00B72C43" w:rsidRPr="00845F6D" w:rsidRDefault="00B72C43" w:rsidP="00FF6538">
            <w:pPr>
              <w:spacing w:after="60"/>
            </w:pPr>
            <w:r w:rsidRPr="00845F6D">
              <w:t>Improved social capital</w:t>
            </w:r>
          </w:p>
        </w:tc>
        <w:tc>
          <w:tcPr>
            <w:tcW w:w="1217" w:type="dxa"/>
            <w:vAlign w:val="top"/>
          </w:tcPr>
          <w:p w:rsidR="00B72C43" w:rsidRPr="00845F6D" w:rsidRDefault="00B72C43" w:rsidP="00FF6538">
            <w:pPr>
              <w:spacing w:after="60"/>
            </w:pPr>
            <w:r>
              <w:t>1,315,000</w:t>
            </w:r>
          </w:p>
        </w:tc>
        <w:tc>
          <w:tcPr>
            <w:tcW w:w="1217" w:type="dxa"/>
            <w:vAlign w:val="top"/>
          </w:tcPr>
          <w:p w:rsidR="00B72C43" w:rsidRPr="00845F6D" w:rsidRDefault="00B72C43" w:rsidP="00FF6538">
            <w:pPr>
              <w:spacing w:after="60"/>
            </w:pPr>
            <w:r>
              <w:t>145,000</w:t>
            </w:r>
          </w:p>
        </w:tc>
        <w:tc>
          <w:tcPr>
            <w:tcW w:w="1217" w:type="dxa"/>
            <w:vAlign w:val="top"/>
          </w:tcPr>
          <w:p w:rsidR="00B72C43" w:rsidRPr="00845F6D" w:rsidRDefault="00B72C43" w:rsidP="00FF6538">
            <w:pPr>
              <w:spacing w:after="60"/>
            </w:pPr>
            <w:r>
              <w:t>1,460,000</w:t>
            </w:r>
          </w:p>
        </w:tc>
      </w:tr>
      <w:tr w:rsidR="00B72C43" w:rsidRPr="00845F6D" w:rsidTr="003E0451">
        <w:trPr>
          <w:cnfStyle w:val="000000100000" w:firstRow="0" w:lastRow="0" w:firstColumn="0" w:lastColumn="0" w:oddVBand="0" w:evenVBand="0" w:oddHBand="1" w:evenHBand="0" w:firstRowFirstColumn="0" w:firstRowLastColumn="0" w:lastRowFirstColumn="0" w:lastRowLastColumn="0"/>
        </w:trPr>
        <w:tc>
          <w:tcPr>
            <w:tcW w:w="1499" w:type="dxa"/>
            <w:shd w:val="clear" w:color="auto" w:fill="auto"/>
          </w:tcPr>
          <w:p w:rsidR="00B72C43" w:rsidRPr="00845F6D" w:rsidRDefault="003E0451" w:rsidP="00FF6538">
            <w:pPr>
              <w:spacing w:after="60"/>
            </w:pPr>
            <w:r w:rsidRPr="00FF6538">
              <w:rPr>
                <w:b/>
              </w:rPr>
              <w:t>Employment</w:t>
            </w:r>
          </w:p>
        </w:tc>
        <w:tc>
          <w:tcPr>
            <w:tcW w:w="2608" w:type="dxa"/>
            <w:shd w:val="clear" w:color="auto" w:fill="auto"/>
            <w:vAlign w:val="top"/>
          </w:tcPr>
          <w:p w:rsidR="00B72C43" w:rsidRPr="00845F6D" w:rsidRDefault="00B72C43" w:rsidP="00FF6538">
            <w:pPr>
              <w:spacing w:after="60"/>
            </w:pPr>
            <w:r w:rsidRPr="00845F6D">
              <w:t>Connecting with disability employment services</w:t>
            </w:r>
          </w:p>
        </w:tc>
        <w:tc>
          <w:tcPr>
            <w:tcW w:w="1814" w:type="dxa"/>
            <w:shd w:val="clear" w:color="auto" w:fill="auto"/>
            <w:vAlign w:val="top"/>
          </w:tcPr>
          <w:p w:rsidR="00B72C43" w:rsidRPr="00845F6D" w:rsidRDefault="00B72C43" w:rsidP="00FF6538">
            <w:pPr>
              <w:spacing w:after="60"/>
            </w:pPr>
            <w:r w:rsidRPr="00845F6D">
              <w:t>Increased self esteem</w:t>
            </w:r>
          </w:p>
          <w:p w:rsidR="00B72C43" w:rsidRPr="00845F6D" w:rsidRDefault="00B72C43" w:rsidP="00FF6538">
            <w:pPr>
              <w:spacing w:after="60"/>
            </w:pPr>
            <w:r w:rsidRPr="00845F6D">
              <w:t>Improved social capital</w:t>
            </w:r>
          </w:p>
        </w:tc>
        <w:tc>
          <w:tcPr>
            <w:tcW w:w="1217" w:type="dxa"/>
            <w:shd w:val="clear" w:color="auto" w:fill="auto"/>
            <w:vAlign w:val="top"/>
          </w:tcPr>
          <w:p w:rsidR="00B72C43" w:rsidRPr="00845F6D" w:rsidRDefault="00B72C43" w:rsidP="00FF6538">
            <w:pPr>
              <w:spacing w:after="60"/>
            </w:pPr>
            <w:r>
              <w:t>2,019,000</w:t>
            </w:r>
          </w:p>
        </w:tc>
        <w:tc>
          <w:tcPr>
            <w:tcW w:w="1217" w:type="dxa"/>
            <w:shd w:val="clear" w:color="auto" w:fill="auto"/>
            <w:vAlign w:val="top"/>
          </w:tcPr>
          <w:p w:rsidR="00B72C43" w:rsidRPr="00845F6D" w:rsidRDefault="00B72C43" w:rsidP="00FF6538">
            <w:pPr>
              <w:spacing w:after="60"/>
            </w:pPr>
            <w:r>
              <w:t>411,000</w:t>
            </w:r>
          </w:p>
        </w:tc>
        <w:tc>
          <w:tcPr>
            <w:tcW w:w="1217" w:type="dxa"/>
            <w:shd w:val="clear" w:color="auto" w:fill="auto"/>
            <w:vAlign w:val="top"/>
          </w:tcPr>
          <w:p w:rsidR="00B72C43" w:rsidRPr="00845F6D" w:rsidRDefault="00B72C43" w:rsidP="00FF6538">
            <w:pPr>
              <w:spacing w:after="60"/>
            </w:pPr>
            <w:r>
              <w:t>2,430,000</w:t>
            </w:r>
          </w:p>
        </w:tc>
      </w:tr>
      <w:tr w:rsidR="00B72C43" w:rsidRPr="00845F6D" w:rsidTr="003E0451">
        <w:tc>
          <w:tcPr>
            <w:tcW w:w="1499" w:type="dxa"/>
          </w:tcPr>
          <w:p w:rsidR="00B72C43" w:rsidRPr="00845F6D" w:rsidRDefault="003E0451" w:rsidP="00FF6538">
            <w:pPr>
              <w:spacing w:after="60"/>
            </w:pPr>
            <w:r w:rsidRPr="00FF6538">
              <w:rPr>
                <w:b/>
              </w:rPr>
              <w:t>Employment</w:t>
            </w:r>
          </w:p>
        </w:tc>
        <w:tc>
          <w:tcPr>
            <w:tcW w:w="2608" w:type="dxa"/>
            <w:vAlign w:val="top"/>
          </w:tcPr>
          <w:p w:rsidR="00B72C43" w:rsidRPr="00845F6D" w:rsidRDefault="00B72C43" w:rsidP="00FF6538">
            <w:pPr>
              <w:spacing w:after="60"/>
            </w:pPr>
            <w:r w:rsidRPr="00845F6D">
              <w:t>Work experience</w:t>
            </w:r>
          </w:p>
          <w:p w:rsidR="00B72C43" w:rsidRPr="00845F6D" w:rsidRDefault="00B72C43" w:rsidP="00FF6538">
            <w:pPr>
              <w:spacing w:after="60"/>
            </w:pPr>
            <w:r w:rsidRPr="00845F6D">
              <w:t>Volunteering</w:t>
            </w:r>
          </w:p>
        </w:tc>
        <w:tc>
          <w:tcPr>
            <w:tcW w:w="1814" w:type="dxa"/>
            <w:vAlign w:val="top"/>
          </w:tcPr>
          <w:p w:rsidR="00B72C43" w:rsidRPr="00845F6D" w:rsidRDefault="00B72C43" w:rsidP="00FF6538">
            <w:pPr>
              <w:spacing w:after="60"/>
            </w:pPr>
            <w:r w:rsidRPr="00845F6D">
              <w:t>Increased self esteem</w:t>
            </w:r>
          </w:p>
          <w:p w:rsidR="00B72C43" w:rsidRPr="00845F6D" w:rsidRDefault="00B72C43" w:rsidP="00FF6538">
            <w:pPr>
              <w:spacing w:after="60"/>
            </w:pPr>
            <w:r w:rsidRPr="00845F6D">
              <w:t>Improved social capital</w:t>
            </w:r>
          </w:p>
        </w:tc>
        <w:tc>
          <w:tcPr>
            <w:tcW w:w="1217" w:type="dxa"/>
            <w:vAlign w:val="top"/>
          </w:tcPr>
          <w:p w:rsidR="00B72C43" w:rsidRPr="00845F6D" w:rsidRDefault="00B72C43" w:rsidP="00FF6538">
            <w:pPr>
              <w:spacing w:after="60"/>
            </w:pPr>
            <w:r>
              <w:t>1,597,000</w:t>
            </w:r>
          </w:p>
        </w:tc>
        <w:tc>
          <w:tcPr>
            <w:tcW w:w="1217" w:type="dxa"/>
            <w:vAlign w:val="top"/>
          </w:tcPr>
          <w:p w:rsidR="00B72C43" w:rsidRPr="00845F6D" w:rsidRDefault="00B72C43" w:rsidP="00FF6538">
            <w:pPr>
              <w:spacing w:after="60"/>
            </w:pPr>
            <w:r>
              <w:t>105,000</w:t>
            </w:r>
          </w:p>
        </w:tc>
        <w:tc>
          <w:tcPr>
            <w:tcW w:w="1217" w:type="dxa"/>
            <w:vAlign w:val="top"/>
          </w:tcPr>
          <w:p w:rsidR="00B72C43" w:rsidRPr="00845F6D" w:rsidRDefault="00B72C43" w:rsidP="00FF6538">
            <w:pPr>
              <w:spacing w:after="60"/>
            </w:pPr>
            <w:r>
              <w:t>1,701,000</w:t>
            </w:r>
          </w:p>
        </w:tc>
      </w:tr>
      <w:tr w:rsidR="003E0451" w:rsidRPr="00845F6D" w:rsidTr="003E0451">
        <w:trPr>
          <w:cnfStyle w:val="000000100000" w:firstRow="0" w:lastRow="0" w:firstColumn="0" w:lastColumn="0" w:oddVBand="0" w:evenVBand="0" w:oddHBand="1" w:evenHBand="0" w:firstRowFirstColumn="0" w:firstRowLastColumn="0" w:lastRowFirstColumn="0" w:lastRowLastColumn="0"/>
        </w:trPr>
        <w:tc>
          <w:tcPr>
            <w:tcW w:w="1499" w:type="dxa"/>
            <w:shd w:val="clear" w:color="auto" w:fill="auto"/>
          </w:tcPr>
          <w:p w:rsidR="003E0451" w:rsidRPr="00FF6538" w:rsidRDefault="003E0451" w:rsidP="00FF6538">
            <w:pPr>
              <w:spacing w:after="60"/>
              <w:rPr>
                <w:b/>
              </w:rPr>
            </w:pPr>
            <w:r w:rsidRPr="00FF6538">
              <w:rPr>
                <w:b/>
              </w:rPr>
              <w:t>Education and training</w:t>
            </w:r>
          </w:p>
        </w:tc>
        <w:tc>
          <w:tcPr>
            <w:tcW w:w="2608" w:type="dxa"/>
            <w:shd w:val="clear" w:color="auto" w:fill="auto"/>
            <w:vAlign w:val="top"/>
          </w:tcPr>
          <w:p w:rsidR="003E0451" w:rsidRPr="00845F6D" w:rsidRDefault="003E0451" w:rsidP="003E0451">
            <w:pPr>
              <w:spacing w:after="60"/>
            </w:pPr>
            <w:r w:rsidRPr="00845F6D">
              <w:t>Assistance identifying/ connecting to TAFE or University courses</w:t>
            </w:r>
          </w:p>
        </w:tc>
        <w:tc>
          <w:tcPr>
            <w:tcW w:w="1814" w:type="dxa"/>
            <w:shd w:val="clear" w:color="auto" w:fill="auto"/>
            <w:vAlign w:val="top"/>
          </w:tcPr>
          <w:p w:rsidR="003E0451" w:rsidRPr="00845F6D" w:rsidRDefault="003E0451" w:rsidP="003E0451">
            <w:pPr>
              <w:spacing w:after="60"/>
            </w:pPr>
            <w:r w:rsidRPr="00845F6D">
              <w:t>Increased self esteem</w:t>
            </w:r>
          </w:p>
        </w:tc>
        <w:tc>
          <w:tcPr>
            <w:tcW w:w="1217" w:type="dxa"/>
            <w:shd w:val="clear" w:color="auto" w:fill="auto"/>
            <w:vAlign w:val="top"/>
          </w:tcPr>
          <w:p w:rsidR="003E0451" w:rsidRPr="00845F6D" w:rsidRDefault="003E0451" w:rsidP="003E0451">
            <w:pPr>
              <w:spacing w:after="60"/>
            </w:pPr>
            <w:r>
              <w:t>1,178,000</w:t>
            </w:r>
          </w:p>
        </w:tc>
        <w:tc>
          <w:tcPr>
            <w:tcW w:w="1217" w:type="dxa"/>
            <w:shd w:val="clear" w:color="auto" w:fill="auto"/>
            <w:vAlign w:val="top"/>
          </w:tcPr>
          <w:p w:rsidR="003E0451" w:rsidRPr="00845F6D" w:rsidRDefault="003E0451" w:rsidP="003E0451">
            <w:pPr>
              <w:spacing w:after="60"/>
            </w:pPr>
            <w:r>
              <w:t>53,000</w:t>
            </w:r>
          </w:p>
        </w:tc>
        <w:tc>
          <w:tcPr>
            <w:tcW w:w="1217" w:type="dxa"/>
            <w:shd w:val="clear" w:color="auto" w:fill="auto"/>
            <w:vAlign w:val="top"/>
          </w:tcPr>
          <w:p w:rsidR="003E0451" w:rsidRPr="00845F6D" w:rsidRDefault="003E0451" w:rsidP="003E0451">
            <w:pPr>
              <w:spacing w:after="60"/>
            </w:pPr>
            <w:r>
              <w:t>1,231,000</w:t>
            </w:r>
          </w:p>
        </w:tc>
      </w:tr>
      <w:tr w:rsidR="003E0451" w:rsidRPr="00845F6D" w:rsidTr="003E0451">
        <w:tc>
          <w:tcPr>
            <w:tcW w:w="1499" w:type="dxa"/>
          </w:tcPr>
          <w:p w:rsidR="003E0451" w:rsidRPr="00FF6538" w:rsidRDefault="003E0451" w:rsidP="00FF6538">
            <w:pPr>
              <w:spacing w:after="60"/>
              <w:rPr>
                <w:b/>
              </w:rPr>
            </w:pPr>
            <w:r w:rsidRPr="00FF6538">
              <w:rPr>
                <w:b/>
              </w:rPr>
              <w:t>Education and training</w:t>
            </w:r>
          </w:p>
        </w:tc>
        <w:tc>
          <w:tcPr>
            <w:tcW w:w="2608" w:type="dxa"/>
            <w:vAlign w:val="top"/>
          </w:tcPr>
          <w:p w:rsidR="003E0451" w:rsidRPr="00845F6D" w:rsidRDefault="003E0451" w:rsidP="003E0451">
            <w:pPr>
              <w:spacing w:after="60"/>
            </w:pPr>
            <w:r w:rsidRPr="00845F6D">
              <w:t>Training activities related to employment</w:t>
            </w:r>
          </w:p>
        </w:tc>
        <w:tc>
          <w:tcPr>
            <w:tcW w:w="1814" w:type="dxa"/>
            <w:vAlign w:val="top"/>
          </w:tcPr>
          <w:p w:rsidR="003E0451" w:rsidRPr="00845F6D" w:rsidRDefault="003E0451" w:rsidP="003E0451">
            <w:pPr>
              <w:spacing w:after="60"/>
            </w:pPr>
            <w:r w:rsidRPr="00845F6D">
              <w:t>Increased self esteem</w:t>
            </w:r>
          </w:p>
        </w:tc>
        <w:tc>
          <w:tcPr>
            <w:tcW w:w="1217" w:type="dxa"/>
            <w:vAlign w:val="top"/>
          </w:tcPr>
          <w:p w:rsidR="003E0451" w:rsidRPr="00845F6D" w:rsidRDefault="003E0451" w:rsidP="003E0451">
            <w:pPr>
              <w:spacing w:after="60"/>
            </w:pPr>
            <w:r>
              <w:t>700,000</w:t>
            </w:r>
          </w:p>
        </w:tc>
        <w:tc>
          <w:tcPr>
            <w:tcW w:w="1217" w:type="dxa"/>
            <w:vAlign w:val="top"/>
          </w:tcPr>
          <w:p w:rsidR="003E0451" w:rsidRPr="00845F6D" w:rsidRDefault="003E0451" w:rsidP="003E0451">
            <w:pPr>
              <w:spacing w:after="60"/>
            </w:pPr>
            <w:r>
              <w:t>149,000</w:t>
            </w:r>
          </w:p>
        </w:tc>
        <w:tc>
          <w:tcPr>
            <w:tcW w:w="1217" w:type="dxa"/>
            <w:vAlign w:val="top"/>
          </w:tcPr>
          <w:p w:rsidR="003E0451" w:rsidRPr="00845F6D" w:rsidRDefault="003E0451" w:rsidP="003E0451">
            <w:pPr>
              <w:spacing w:after="60"/>
            </w:pPr>
            <w:r>
              <w:t>849,000</w:t>
            </w:r>
          </w:p>
        </w:tc>
      </w:tr>
      <w:tr w:rsidR="003E0451" w:rsidRPr="00845F6D" w:rsidTr="003E0451">
        <w:trPr>
          <w:cnfStyle w:val="000000100000" w:firstRow="0" w:lastRow="0" w:firstColumn="0" w:lastColumn="0" w:oddVBand="0" w:evenVBand="0" w:oddHBand="1" w:evenHBand="0" w:firstRowFirstColumn="0" w:firstRowLastColumn="0" w:lastRowFirstColumn="0" w:lastRowLastColumn="0"/>
        </w:trPr>
        <w:tc>
          <w:tcPr>
            <w:tcW w:w="1499" w:type="dxa"/>
            <w:shd w:val="clear" w:color="auto" w:fill="auto"/>
          </w:tcPr>
          <w:p w:rsidR="003E0451" w:rsidRPr="00FF6538" w:rsidRDefault="003E0451" w:rsidP="00FF6538">
            <w:pPr>
              <w:spacing w:after="60"/>
              <w:rPr>
                <w:b/>
              </w:rPr>
            </w:pPr>
            <w:r w:rsidRPr="00FF6538">
              <w:rPr>
                <w:b/>
              </w:rPr>
              <w:t>Education and training</w:t>
            </w:r>
          </w:p>
        </w:tc>
        <w:tc>
          <w:tcPr>
            <w:tcW w:w="2608" w:type="dxa"/>
            <w:shd w:val="clear" w:color="auto" w:fill="auto"/>
            <w:vAlign w:val="top"/>
          </w:tcPr>
          <w:p w:rsidR="003E0451" w:rsidRPr="00845F6D" w:rsidRDefault="003E0451" w:rsidP="003E0451">
            <w:pPr>
              <w:spacing w:after="60"/>
            </w:pPr>
            <w:r w:rsidRPr="00845F6D">
              <w:t>Support accessing or liaising with schools</w:t>
            </w:r>
          </w:p>
        </w:tc>
        <w:tc>
          <w:tcPr>
            <w:tcW w:w="1814" w:type="dxa"/>
            <w:shd w:val="clear" w:color="auto" w:fill="auto"/>
            <w:vAlign w:val="top"/>
          </w:tcPr>
          <w:p w:rsidR="003E0451" w:rsidRPr="00845F6D" w:rsidRDefault="003E0451" w:rsidP="003E0451">
            <w:pPr>
              <w:spacing w:after="60"/>
            </w:pPr>
            <w:r w:rsidRPr="00845F6D">
              <w:t xml:space="preserve">Increased </w:t>
            </w:r>
            <w:proofErr w:type="spellStart"/>
            <w:r w:rsidRPr="00845F6D">
              <w:t>self esteem</w:t>
            </w:r>
            <w:proofErr w:type="spellEnd"/>
            <w:r w:rsidRPr="00845F6D">
              <w:t xml:space="preserve"> – child </w:t>
            </w:r>
          </w:p>
          <w:p w:rsidR="003E0451" w:rsidRPr="00845F6D" w:rsidRDefault="003E0451" w:rsidP="003E0451">
            <w:pPr>
              <w:spacing w:after="60"/>
            </w:pPr>
            <w:r w:rsidRPr="00845F6D">
              <w:t xml:space="preserve">Improved well-being – parent </w:t>
            </w:r>
          </w:p>
        </w:tc>
        <w:tc>
          <w:tcPr>
            <w:tcW w:w="1217" w:type="dxa"/>
            <w:shd w:val="clear" w:color="auto" w:fill="auto"/>
            <w:vAlign w:val="top"/>
          </w:tcPr>
          <w:p w:rsidR="003E0451" w:rsidRPr="00845F6D" w:rsidRDefault="003E0451" w:rsidP="003E0451">
            <w:pPr>
              <w:spacing w:after="60"/>
            </w:pPr>
            <w:r>
              <w:t>2,078,000</w:t>
            </w:r>
          </w:p>
        </w:tc>
        <w:tc>
          <w:tcPr>
            <w:tcW w:w="1217" w:type="dxa"/>
            <w:shd w:val="clear" w:color="auto" w:fill="auto"/>
            <w:vAlign w:val="top"/>
          </w:tcPr>
          <w:p w:rsidR="003E0451" w:rsidRPr="00845F6D" w:rsidRDefault="003E0451" w:rsidP="003E0451">
            <w:pPr>
              <w:spacing w:after="60"/>
            </w:pPr>
            <w:r>
              <w:t>3,667,000</w:t>
            </w:r>
          </w:p>
        </w:tc>
        <w:tc>
          <w:tcPr>
            <w:tcW w:w="1217" w:type="dxa"/>
            <w:shd w:val="clear" w:color="auto" w:fill="auto"/>
            <w:vAlign w:val="top"/>
          </w:tcPr>
          <w:p w:rsidR="003E0451" w:rsidRPr="00845F6D" w:rsidRDefault="003E0451" w:rsidP="003E0451">
            <w:pPr>
              <w:spacing w:after="60"/>
            </w:pPr>
            <w:r>
              <w:t>5,746,000</w:t>
            </w:r>
          </w:p>
        </w:tc>
      </w:tr>
      <w:tr w:rsidR="003E0451" w:rsidRPr="00845F6D" w:rsidTr="003E0451">
        <w:tc>
          <w:tcPr>
            <w:tcW w:w="1499" w:type="dxa"/>
          </w:tcPr>
          <w:p w:rsidR="003E0451" w:rsidRPr="00FF6538" w:rsidRDefault="003E0451" w:rsidP="00FF6538">
            <w:pPr>
              <w:spacing w:after="60"/>
              <w:rPr>
                <w:b/>
              </w:rPr>
            </w:pPr>
            <w:r w:rsidRPr="00FF6538">
              <w:rPr>
                <w:b/>
              </w:rPr>
              <w:t>Service engagement</w:t>
            </w:r>
          </w:p>
        </w:tc>
        <w:tc>
          <w:tcPr>
            <w:tcW w:w="2608" w:type="dxa"/>
            <w:vAlign w:val="top"/>
          </w:tcPr>
          <w:p w:rsidR="003E0451" w:rsidRPr="00845F6D" w:rsidRDefault="003E0451" w:rsidP="003E0451">
            <w:pPr>
              <w:spacing w:after="60"/>
            </w:pPr>
            <w:r w:rsidRPr="00845F6D">
              <w:t>Access to mainstream services and specialist disability support</w:t>
            </w:r>
          </w:p>
        </w:tc>
        <w:tc>
          <w:tcPr>
            <w:tcW w:w="1814" w:type="dxa"/>
            <w:vAlign w:val="top"/>
          </w:tcPr>
          <w:p w:rsidR="003E0451" w:rsidRPr="00845F6D" w:rsidRDefault="003E0451" w:rsidP="003E0451">
            <w:pPr>
              <w:spacing w:after="60"/>
            </w:pPr>
            <w:r w:rsidRPr="00845F6D">
              <w:t>Improved well-being</w:t>
            </w:r>
          </w:p>
        </w:tc>
        <w:tc>
          <w:tcPr>
            <w:tcW w:w="1217" w:type="dxa"/>
            <w:vAlign w:val="top"/>
          </w:tcPr>
          <w:p w:rsidR="003E0451" w:rsidRPr="00845F6D" w:rsidRDefault="003E0451" w:rsidP="003E0451">
            <w:pPr>
              <w:spacing w:after="60"/>
            </w:pPr>
            <w:r>
              <w:t>18,696,000</w:t>
            </w:r>
          </w:p>
        </w:tc>
        <w:tc>
          <w:tcPr>
            <w:tcW w:w="1217" w:type="dxa"/>
            <w:vAlign w:val="top"/>
          </w:tcPr>
          <w:p w:rsidR="003E0451" w:rsidRPr="00845F6D" w:rsidRDefault="003E0451" w:rsidP="003E0451">
            <w:pPr>
              <w:spacing w:after="60"/>
            </w:pPr>
            <w:r>
              <w:t>15,762,000</w:t>
            </w:r>
          </w:p>
        </w:tc>
        <w:tc>
          <w:tcPr>
            <w:tcW w:w="1217" w:type="dxa"/>
            <w:vAlign w:val="top"/>
          </w:tcPr>
          <w:p w:rsidR="003E0451" w:rsidRPr="00845F6D" w:rsidRDefault="003E0451" w:rsidP="003E0451">
            <w:pPr>
              <w:spacing w:after="60"/>
            </w:pPr>
            <w:r>
              <w:t>34,457,000</w:t>
            </w:r>
          </w:p>
        </w:tc>
      </w:tr>
      <w:tr w:rsidR="003E0451" w:rsidRPr="00845F6D" w:rsidTr="003E0451">
        <w:trPr>
          <w:cnfStyle w:val="000000100000" w:firstRow="0" w:lastRow="0" w:firstColumn="0" w:lastColumn="0" w:oddVBand="0" w:evenVBand="0" w:oddHBand="1" w:evenHBand="0" w:firstRowFirstColumn="0" w:firstRowLastColumn="0" w:lastRowFirstColumn="0" w:lastRowLastColumn="0"/>
        </w:trPr>
        <w:tc>
          <w:tcPr>
            <w:tcW w:w="1499" w:type="dxa"/>
            <w:shd w:val="clear" w:color="auto" w:fill="auto"/>
          </w:tcPr>
          <w:p w:rsidR="003E0451" w:rsidRPr="00FF6538" w:rsidRDefault="003E0451" w:rsidP="00FF6538">
            <w:pPr>
              <w:spacing w:after="60"/>
              <w:rPr>
                <w:b/>
              </w:rPr>
            </w:pPr>
            <w:r w:rsidRPr="00FF6538">
              <w:rPr>
                <w:b/>
              </w:rPr>
              <w:t>Social, community and civic participation</w:t>
            </w:r>
          </w:p>
        </w:tc>
        <w:tc>
          <w:tcPr>
            <w:tcW w:w="2608" w:type="dxa"/>
            <w:shd w:val="clear" w:color="auto" w:fill="auto"/>
            <w:vAlign w:val="top"/>
          </w:tcPr>
          <w:p w:rsidR="003E0451" w:rsidRPr="00845F6D" w:rsidRDefault="003E0451" w:rsidP="003E0451">
            <w:pPr>
              <w:spacing w:after="60"/>
            </w:pPr>
            <w:r w:rsidRPr="00845F6D">
              <w:t>All social outcomes</w:t>
            </w:r>
          </w:p>
        </w:tc>
        <w:tc>
          <w:tcPr>
            <w:tcW w:w="1814" w:type="dxa"/>
            <w:shd w:val="clear" w:color="auto" w:fill="auto"/>
            <w:vAlign w:val="top"/>
          </w:tcPr>
          <w:p w:rsidR="003E0451" w:rsidRPr="00845F6D" w:rsidRDefault="003E0451" w:rsidP="003E0451">
            <w:pPr>
              <w:spacing w:after="60"/>
            </w:pPr>
            <w:r w:rsidRPr="00845F6D">
              <w:t>Increased self esteem</w:t>
            </w:r>
          </w:p>
          <w:p w:rsidR="003E0451" w:rsidRPr="00845F6D" w:rsidRDefault="003E0451" w:rsidP="003E0451">
            <w:pPr>
              <w:spacing w:after="60"/>
            </w:pPr>
            <w:r w:rsidRPr="00845F6D">
              <w:t>Improved social capital</w:t>
            </w:r>
          </w:p>
        </w:tc>
        <w:tc>
          <w:tcPr>
            <w:tcW w:w="1217" w:type="dxa"/>
            <w:shd w:val="clear" w:color="auto" w:fill="auto"/>
            <w:vAlign w:val="top"/>
          </w:tcPr>
          <w:p w:rsidR="003E0451" w:rsidRPr="00845F6D" w:rsidRDefault="003E0451" w:rsidP="003E0451">
            <w:pPr>
              <w:spacing w:after="60"/>
              <w:jc w:val="right"/>
            </w:pPr>
            <w:r>
              <w:t>19,091,000</w:t>
            </w:r>
          </w:p>
        </w:tc>
        <w:tc>
          <w:tcPr>
            <w:tcW w:w="1217" w:type="dxa"/>
            <w:shd w:val="clear" w:color="auto" w:fill="auto"/>
            <w:vAlign w:val="top"/>
          </w:tcPr>
          <w:p w:rsidR="003E0451" w:rsidRPr="00845F6D" w:rsidRDefault="003E0451" w:rsidP="003E0451">
            <w:pPr>
              <w:spacing w:after="60"/>
              <w:jc w:val="right"/>
            </w:pPr>
            <w:r>
              <w:t>12,774,000</w:t>
            </w:r>
          </w:p>
        </w:tc>
        <w:tc>
          <w:tcPr>
            <w:tcW w:w="1217" w:type="dxa"/>
            <w:shd w:val="clear" w:color="auto" w:fill="auto"/>
            <w:vAlign w:val="top"/>
          </w:tcPr>
          <w:p w:rsidR="003E0451" w:rsidRPr="00845F6D" w:rsidRDefault="003E0451" w:rsidP="003E0451">
            <w:pPr>
              <w:spacing w:after="60"/>
              <w:jc w:val="right"/>
            </w:pPr>
            <w:r>
              <w:t>31,864,000</w:t>
            </w:r>
          </w:p>
        </w:tc>
      </w:tr>
      <w:tr w:rsidR="003E0451" w:rsidRPr="00845F6D" w:rsidTr="003E0451">
        <w:tc>
          <w:tcPr>
            <w:tcW w:w="1499" w:type="dxa"/>
          </w:tcPr>
          <w:p w:rsidR="003E0451" w:rsidRPr="00FF6538" w:rsidRDefault="003E0451" w:rsidP="00FF6538">
            <w:pPr>
              <w:spacing w:after="60"/>
              <w:rPr>
                <w:b/>
              </w:rPr>
            </w:pPr>
            <w:r w:rsidRPr="0012750B">
              <w:rPr>
                <w:b/>
              </w:rPr>
              <w:t>Total social benefits</w:t>
            </w:r>
          </w:p>
        </w:tc>
        <w:tc>
          <w:tcPr>
            <w:tcW w:w="2608" w:type="dxa"/>
            <w:vAlign w:val="top"/>
          </w:tcPr>
          <w:p w:rsidR="003E0451" w:rsidRPr="00845F6D" w:rsidRDefault="009A2A2B" w:rsidP="003E0451">
            <w:pPr>
              <w:spacing w:after="60"/>
            </w:pPr>
            <w:r>
              <w:t>-</w:t>
            </w:r>
          </w:p>
        </w:tc>
        <w:tc>
          <w:tcPr>
            <w:tcW w:w="1814" w:type="dxa"/>
            <w:vAlign w:val="top"/>
          </w:tcPr>
          <w:p w:rsidR="003E0451" w:rsidRPr="00845F6D" w:rsidRDefault="009A2A2B" w:rsidP="003E0451">
            <w:pPr>
              <w:spacing w:after="60"/>
            </w:pPr>
            <w:r>
              <w:t>-</w:t>
            </w:r>
          </w:p>
        </w:tc>
        <w:tc>
          <w:tcPr>
            <w:tcW w:w="1217" w:type="dxa"/>
            <w:vAlign w:val="top"/>
          </w:tcPr>
          <w:p w:rsidR="003E0451" w:rsidRPr="00CF7E23" w:rsidRDefault="003E0451" w:rsidP="003E0451">
            <w:pPr>
              <w:spacing w:after="60"/>
              <w:rPr>
                <w:b/>
              </w:rPr>
            </w:pPr>
            <w:r>
              <w:rPr>
                <w:b/>
              </w:rPr>
              <w:t>48,139,000</w:t>
            </w:r>
          </w:p>
        </w:tc>
        <w:tc>
          <w:tcPr>
            <w:tcW w:w="1217" w:type="dxa"/>
            <w:vAlign w:val="top"/>
          </w:tcPr>
          <w:p w:rsidR="003E0451" w:rsidRPr="00CF7E23" w:rsidRDefault="003E0451" w:rsidP="003E0451">
            <w:pPr>
              <w:spacing w:after="60"/>
              <w:rPr>
                <w:b/>
              </w:rPr>
            </w:pPr>
            <w:r>
              <w:rPr>
                <w:b/>
              </w:rPr>
              <w:t>33,353,000</w:t>
            </w:r>
          </w:p>
        </w:tc>
        <w:tc>
          <w:tcPr>
            <w:tcW w:w="1217" w:type="dxa"/>
            <w:vAlign w:val="top"/>
          </w:tcPr>
          <w:p w:rsidR="003E0451" w:rsidRPr="00CF7E23" w:rsidRDefault="003E0451" w:rsidP="003E0451">
            <w:pPr>
              <w:spacing w:after="60"/>
              <w:rPr>
                <w:b/>
              </w:rPr>
            </w:pPr>
            <w:r>
              <w:rPr>
                <w:b/>
              </w:rPr>
              <w:t>81,492,000</w:t>
            </w:r>
          </w:p>
        </w:tc>
      </w:tr>
    </w:tbl>
    <w:p w:rsidR="00D14BF8" w:rsidRPr="00EB4AA6" w:rsidRDefault="00D14BF8" w:rsidP="00D14BF8">
      <w:r w:rsidRPr="00EB4AA6">
        <w:rPr>
          <w:sz w:val="18"/>
        </w:rPr>
        <w:t>Note: totals may not add due to rounding</w:t>
      </w:r>
    </w:p>
    <w:p w:rsidR="00D14BF8" w:rsidRPr="00D14BF8" w:rsidRDefault="00D14BF8" w:rsidP="00D14BF8">
      <w:pPr>
        <w:pStyle w:val="Heading2"/>
        <w:tabs>
          <w:tab w:val="clear" w:pos="851"/>
        </w:tabs>
        <w:spacing w:before="360"/>
        <w:rPr>
          <w:iCs w:val="0"/>
          <w:color w:val="auto"/>
        </w:rPr>
      </w:pPr>
      <w:bookmarkStart w:id="155" w:name="_Toc465259725"/>
      <w:bookmarkStart w:id="156" w:name="_Toc467133529"/>
      <w:r w:rsidRPr="00D14BF8">
        <w:rPr>
          <w:iCs w:val="0"/>
          <w:color w:val="auto"/>
        </w:rPr>
        <w:t>Community benefits</w:t>
      </w:r>
      <w:bookmarkEnd w:id="155"/>
      <w:bookmarkEnd w:id="156"/>
    </w:p>
    <w:p w:rsidR="00D14BF8" w:rsidRDefault="00D14BF8" w:rsidP="00D14BF8">
      <w:r>
        <w:t xml:space="preserve">Urbis was unable to quantify community benefits, due to the lack of specificity around outcomes identified. For example, greater access to employment opportunities may have assisted the individual, the business and/or other individuals with disability. It may also have led to greater levels of understanding and acceptance of disability in the community </w:t>
      </w:r>
    </w:p>
    <w:p w:rsidR="00D14BF8" w:rsidRDefault="00D14BF8" w:rsidP="00D14BF8">
      <w:r>
        <w:t xml:space="preserve">As community benefits are important – and indeed a core aim of the Ability Links and Early Links programs – they are included here qualitatively. Urbis notes that, if quantifiable, these outcomes would add significantly to the quantified results achieved. </w:t>
      </w:r>
    </w:p>
    <w:p w:rsidR="00D14BF8" w:rsidRPr="003B7DC4" w:rsidRDefault="00D14BF8" w:rsidP="00D14BF8">
      <w:pPr>
        <w:pStyle w:val="Heading3"/>
        <w:tabs>
          <w:tab w:val="clear" w:pos="851"/>
        </w:tabs>
        <w:spacing w:before="0" w:after="80"/>
        <w:rPr>
          <w:color w:val="595959"/>
        </w:rPr>
      </w:pPr>
      <w:bookmarkStart w:id="157" w:name="_Toc465259726"/>
      <w:bookmarkStart w:id="158" w:name="_Toc467133530"/>
      <w:r w:rsidRPr="003B7DC4">
        <w:rPr>
          <w:color w:val="595959"/>
        </w:rPr>
        <w:lastRenderedPageBreak/>
        <w:t>Physical</w:t>
      </w:r>
      <w:bookmarkEnd w:id="157"/>
      <w:bookmarkEnd w:id="158"/>
    </w:p>
    <w:p w:rsidR="00D14BF8" w:rsidRPr="00BC5098" w:rsidRDefault="00D14BF8" w:rsidP="00D14BF8">
      <w:pPr>
        <w:spacing w:after="120"/>
      </w:pPr>
      <w:r w:rsidRPr="00BC5098">
        <w:t xml:space="preserve">The </w:t>
      </w:r>
      <w:r>
        <w:t xml:space="preserve">NSW </w:t>
      </w:r>
      <w:r w:rsidRPr="00BC5098">
        <w:t xml:space="preserve">FACS </w:t>
      </w:r>
      <w:r>
        <w:t>data</w:t>
      </w:r>
      <w:r w:rsidRPr="00BC5098">
        <w:t xml:space="preserve"> indicated that </w:t>
      </w:r>
      <w:r>
        <w:t>there were 454</w:t>
      </w:r>
      <w:r w:rsidRPr="00BC5098">
        <w:t xml:space="preserve"> (extrapolated for 12 months) </w:t>
      </w:r>
      <w:r>
        <w:t>outcomes that resulted in improved accessibility.</w:t>
      </w:r>
      <w:r w:rsidRPr="00BC5098">
        <w:t xml:space="preserve"> </w:t>
      </w:r>
    </w:p>
    <w:p w:rsidR="00D14BF8" w:rsidRPr="00BC5098" w:rsidRDefault="00D14BF8" w:rsidP="00D14BF8">
      <w:pPr>
        <w:spacing w:after="120"/>
      </w:pPr>
      <w:r w:rsidRPr="00BC5098">
        <w:t xml:space="preserve">Improved accessibility of physical access (installing ramps, improving the accessibility of bathrooms) has economic benefits for those with mobility issues, their </w:t>
      </w:r>
      <w:proofErr w:type="spellStart"/>
      <w:r w:rsidRPr="00BC5098">
        <w:t>carers</w:t>
      </w:r>
      <w:proofErr w:type="spellEnd"/>
      <w:r w:rsidRPr="00BC5098">
        <w:t xml:space="preserve"> and the broader community. These economic benefits include reduced risk of accidents and hospitalisation, time cost savings to access buildings (steps vs a ramp) and bathrooms. </w:t>
      </w:r>
    </w:p>
    <w:p w:rsidR="00D14BF8" w:rsidRDefault="00D14BF8" w:rsidP="00D14BF8">
      <w:pPr>
        <w:spacing w:after="120"/>
      </w:pPr>
      <w:r w:rsidRPr="00BC5098">
        <w:t>As an indication of the value of accessibility in the community, a study</w:t>
      </w:r>
      <w:r>
        <w:rPr>
          <w:rStyle w:val="FootnoteReference"/>
        </w:rPr>
        <w:footnoteReference w:id="2"/>
      </w:r>
      <w:r w:rsidRPr="00BC5098">
        <w:t xml:space="preserve"> was undertaken to quantify the benefits of building barrier-free (more accessible) housing. The study used contingent valuation (willingness to pay) to compare two similar dwellings</w:t>
      </w:r>
      <w:r>
        <w:t>,</w:t>
      </w:r>
      <w:r w:rsidRPr="00BC5098">
        <w:t xml:space="preserve"> with the only difference being their accessibility conditions. One thousand and seven (1,007) randomly chosen households that answered the direct survey indicated they would pay, on average, 12.5</w:t>
      </w:r>
      <w:r>
        <w:t>%</w:t>
      </w:r>
      <w:r w:rsidRPr="00BC5098">
        <w:t xml:space="preserve"> more for barrier-free housing</w:t>
      </w:r>
      <w:r>
        <w:t>.</w:t>
      </w:r>
      <w:r w:rsidRPr="00BC5098">
        <w:t xml:space="preserve"> Another 97 households selected from a list of </w:t>
      </w:r>
      <w:r>
        <w:t>people with a disability</w:t>
      </w:r>
      <w:r w:rsidRPr="00BC5098">
        <w:t xml:space="preserve"> provided by a non-governmental organisation indicated they would pay an average of 1.4</w:t>
      </w:r>
      <w:r>
        <w:t>%</w:t>
      </w:r>
      <w:r w:rsidRPr="00BC5098">
        <w:t xml:space="preserve"> more (that is, a 13.9</w:t>
      </w:r>
      <w:r>
        <w:t>%</w:t>
      </w:r>
      <w:r w:rsidRPr="00BC5098">
        <w:t xml:space="preserve"> price increase for the barrier-free dwelling)</w:t>
      </w:r>
      <w:r>
        <w:t xml:space="preserve">. </w:t>
      </w:r>
      <w:r w:rsidRPr="00BC5098">
        <w:t xml:space="preserve">The </w:t>
      </w:r>
      <w:r>
        <w:t>study indicates</w:t>
      </w:r>
      <w:r w:rsidRPr="00BC5098">
        <w:t xml:space="preserve"> that accessibility is a general concern, an economic good or attribute that most households value, irrespective of the physical conditions of their members. </w:t>
      </w:r>
      <w:r>
        <w:t xml:space="preserve">There is a quantifiable premium that society places on accessibility. </w:t>
      </w:r>
    </w:p>
    <w:p w:rsidR="00D14BF8" w:rsidRPr="00BC5098" w:rsidRDefault="00D14BF8" w:rsidP="00D14BF8">
      <w:pPr>
        <w:spacing w:after="120"/>
      </w:pPr>
      <w:r>
        <w:t>Further, it is estimated that around 31% of the Australian population at any one time may have accessibility requirement, so catering to the needs of people with disability has much wider positive impacts across the community</w:t>
      </w:r>
      <w:r>
        <w:rPr>
          <w:rStyle w:val="FootnoteReference"/>
        </w:rPr>
        <w:footnoteReference w:id="3"/>
      </w:r>
      <w:r>
        <w:t>.</w:t>
      </w:r>
    </w:p>
    <w:p w:rsidR="00D14BF8" w:rsidRPr="003B7DC4" w:rsidRDefault="00D14BF8" w:rsidP="00D14BF8">
      <w:pPr>
        <w:pStyle w:val="Heading3"/>
        <w:tabs>
          <w:tab w:val="clear" w:pos="851"/>
        </w:tabs>
        <w:spacing w:before="0" w:after="80"/>
        <w:rPr>
          <w:color w:val="595959"/>
        </w:rPr>
      </w:pPr>
      <w:bookmarkStart w:id="159" w:name="_Toc465259727"/>
      <w:bookmarkStart w:id="160" w:name="_Toc467133531"/>
      <w:r w:rsidRPr="003B7DC4">
        <w:rPr>
          <w:color w:val="595959"/>
        </w:rPr>
        <w:t>Business</w:t>
      </w:r>
      <w:bookmarkEnd w:id="159"/>
      <w:bookmarkEnd w:id="160"/>
    </w:p>
    <w:p w:rsidR="00D14BF8" w:rsidRPr="00B065C1" w:rsidRDefault="00D14BF8" w:rsidP="00D14BF8">
      <w:pPr>
        <w:spacing w:after="120"/>
      </w:pPr>
      <w:r w:rsidRPr="00B065C1">
        <w:t xml:space="preserve">The </w:t>
      </w:r>
      <w:r>
        <w:t xml:space="preserve">NSW </w:t>
      </w:r>
      <w:r w:rsidRPr="00B065C1">
        <w:t xml:space="preserve">FACS </w:t>
      </w:r>
      <w:r>
        <w:t>data</w:t>
      </w:r>
      <w:r w:rsidRPr="00B065C1">
        <w:t xml:space="preserve"> indicated that</w:t>
      </w:r>
      <w:r>
        <w:t xml:space="preserve"> there were</w:t>
      </w:r>
      <w:r w:rsidRPr="00B065C1">
        <w:t xml:space="preserve"> </w:t>
      </w:r>
      <w:r>
        <w:t>872</w:t>
      </w:r>
      <w:r w:rsidRPr="00B065C1">
        <w:t xml:space="preserve"> (extrapolated for 12 months) </w:t>
      </w:r>
      <w:r>
        <w:t xml:space="preserve">outcomes where changes to </w:t>
      </w:r>
      <w:r w:rsidRPr="00B065C1">
        <w:t xml:space="preserve">business practices </w:t>
      </w:r>
      <w:r>
        <w:t>ensure the business is inclusive and accessible to people with disability</w:t>
      </w:r>
      <w:r w:rsidRPr="00B065C1">
        <w:t xml:space="preserve">. </w:t>
      </w:r>
    </w:p>
    <w:p w:rsidR="00D14BF8" w:rsidRDefault="00D14BF8" w:rsidP="00D14BF8">
      <w:pPr>
        <w:spacing w:after="120"/>
      </w:pPr>
      <w:r w:rsidRPr="00B065C1">
        <w:t>Changes in practices and policies in businesses</w:t>
      </w:r>
      <w:r>
        <w:t xml:space="preserve"> that are likely to reduce barriers to entry to the work force for people with a disability include:</w:t>
      </w:r>
    </w:p>
    <w:p w:rsidR="00D14BF8" w:rsidRDefault="00D14BF8" w:rsidP="00D43846">
      <w:pPr>
        <w:pStyle w:val="ListParagraph"/>
        <w:numPr>
          <w:ilvl w:val="0"/>
          <w:numId w:val="20"/>
        </w:numPr>
        <w:spacing w:before="0" w:after="120"/>
        <w:ind w:left="426" w:hanging="352"/>
      </w:pPr>
      <w:r>
        <w:t>building in inclusive practices</w:t>
      </w:r>
    </w:p>
    <w:p w:rsidR="00D14BF8" w:rsidRDefault="00D14BF8" w:rsidP="00D43846">
      <w:pPr>
        <w:pStyle w:val="ListParagraph"/>
        <w:numPr>
          <w:ilvl w:val="0"/>
          <w:numId w:val="20"/>
        </w:numPr>
        <w:spacing w:before="0" w:after="120"/>
        <w:ind w:left="426" w:hanging="352"/>
      </w:pPr>
      <w:r w:rsidRPr="00B065C1">
        <w:t>staff training on disa</w:t>
      </w:r>
      <w:r>
        <w:t>bility inclusion and awareness</w:t>
      </w:r>
    </w:p>
    <w:p w:rsidR="00D14BF8" w:rsidRDefault="00D14BF8" w:rsidP="00D43846">
      <w:pPr>
        <w:pStyle w:val="ListParagraph"/>
        <w:numPr>
          <w:ilvl w:val="0"/>
          <w:numId w:val="20"/>
        </w:numPr>
        <w:spacing w:before="0" w:after="120"/>
        <w:ind w:left="426" w:hanging="352"/>
      </w:pPr>
      <w:r>
        <w:t>improvement</w:t>
      </w:r>
      <w:r w:rsidRPr="00B065C1">
        <w:t xml:space="preserve"> employment/recruitment process</w:t>
      </w:r>
    </w:p>
    <w:p w:rsidR="00D14BF8" w:rsidRPr="00B065C1" w:rsidRDefault="00D14BF8" w:rsidP="00D43846">
      <w:pPr>
        <w:pStyle w:val="ListParagraph"/>
        <w:numPr>
          <w:ilvl w:val="0"/>
          <w:numId w:val="20"/>
        </w:numPr>
        <w:spacing w:before="0" w:after="120"/>
        <w:ind w:left="426" w:hanging="352"/>
      </w:pPr>
      <w:proofErr w:type="gramStart"/>
      <w:r w:rsidRPr="00B065C1">
        <w:t>promotion</w:t>
      </w:r>
      <w:proofErr w:type="gramEnd"/>
      <w:r w:rsidRPr="00B065C1">
        <w:t xml:space="preserve"> of their organisation as being actively incl</w:t>
      </w:r>
      <w:r>
        <w:t>usive of people with disability.</w:t>
      </w:r>
    </w:p>
    <w:p w:rsidR="00D14BF8" w:rsidRPr="00B065C1" w:rsidRDefault="00D14BF8" w:rsidP="00D14BF8">
      <w:pPr>
        <w:spacing w:after="120"/>
      </w:pPr>
      <w:r w:rsidRPr="00B065C1">
        <w:t xml:space="preserve">The </w:t>
      </w:r>
      <w:r>
        <w:t xml:space="preserve">major </w:t>
      </w:r>
      <w:r w:rsidRPr="00B065C1">
        <w:t>economic benefit of lowering workf</w:t>
      </w:r>
      <w:r>
        <w:t xml:space="preserve">orce participation barriers is </w:t>
      </w:r>
      <w:r w:rsidRPr="00B065C1">
        <w:t xml:space="preserve">reduced employment search costs for </w:t>
      </w:r>
      <w:r>
        <w:t>people with</w:t>
      </w:r>
      <w:r w:rsidRPr="00B065C1">
        <w:t xml:space="preserve"> </w:t>
      </w:r>
      <w:r>
        <w:t>disability. This report was</w:t>
      </w:r>
      <w:r w:rsidRPr="00B065C1">
        <w:t xml:space="preserve"> not able to quantify these benefits. </w:t>
      </w:r>
    </w:p>
    <w:p w:rsidR="00D14BF8" w:rsidRPr="00B065C1" w:rsidRDefault="00D14BF8" w:rsidP="00D14BF8">
      <w:pPr>
        <w:spacing w:after="120"/>
      </w:pPr>
      <w:r w:rsidRPr="00B065C1">
        <w:t xml:space="preserve">There are commercial benefits for businesses to adopt more inclusive and accessibility policies and practices. A 2006 UK survey on the opinions and shopping habits of </w:t>
      </w:r>
      <w:r>
        <w:t xml:space="preserve">customers with a disability </w:t>
      </w:r>
      <w:r w:rsidRPr="00B065C1">
        <w:t>found that 75</w:t>
      </w:r>
      <w:r>
        <w:t>%</w:t>
      </w:r>
      <w:r w:rsidRPr="00B065C1">
        <w:t xml:space="preserve"> of disabled people had 'walked away' from making a purchase, unable or unwilling to do so. The most important factor was inaccessible premises. Other important factors that discouraged </w:t>
      </w:r>
      <w:r>
        <w:t>consumers with a disability</w:t>
      </w:r>
      <w:r w:rsidRPr="00B065C1">
        <w:t xml:space="preserve"> from spending were poorly designed products and staff that were not disability confident, rude or appeared prejudiced.</w:t>
      </w:r>
      <w:r w:rsidRPr="00B065C1">
        <w:rPr>
          <w:rStyle w:val="FootnoteReference"/>
        </w:rPr>
        <w:footnoteReference w:id="4"/>
      </w:r>
      <w:r w:rsidRPr="00B065C1">
        <w:t xml:space="preserve"> </w:t>
      </w:r>
    </w:p>
    <w:p w:rsidR="00D14BF8" w:rsidRPr="00B065C1" w:rsidRDefault="00D14BF8" w:rsidP="00D14BF8">
      <w:pPr>
        <w:spacing w:after="120"/>
      </w:pPr>
      <w:r w:rsidRPr="00B065C1">
        <w:t>Research by Tourism Queensland found that the majority of people with disability travel with between two and five others. On average, 80 to 90</w:t>
      </w:r>
      <w:r>
        <w:t>%</w:t>
      </w:r>
      <w:r w:rsidRPr="00B065C1">
        <w:t xml:space="preserve"> of all travel by people with disability is with a partner and/or family </w:t>
      </w:r>
      <w:r w:rsidRPr="00B065C1">
        <w:lastRenderedPageBreak/>
        <w:t>and friends. Tourism Queensland found that accessible travel services and products and premises, will have a substantial flow-on effect to the rest of the population.</w:t>
      </w:r>
      <w:r w:rsidRPr="00B065C1">
        <w:rPr>
          <w:rStyle w:val="FootnoteReference"/>
        </w:rPr>
        <w:footnoteReference w:id="5"/>
      </w:r>
      <w:r w:rsidRPr="00B065C1">
        <w:t xml:space="preserve"> </w:t>
      </w:r>
    </w:p>
    <w:p w:rsidR="00D14BF8" w:rsidRDefault="00D14BF8" w:rsidP="00D14BF8">
      <w:pPr>
        <w:spacing w:after="120"/>
      </w:pPr>
      <w:r>
        <w:t>While this report has not been able to quantify the economic benefits of changing business practices to improve accessibility and inclusiveness, they are still significant.</w:t>
      </w:r>
    </w:p>
    <w:p w:rsidR="00D14BF8" w:rsidRPr="003B7DC4" w:rsidRDefault="00D14BF8" w:rsidP="00D14BF8">
      <w:pPr>
        <w:pStyle w:val="Heading3"/>
        <w:tabs>
          <w:tab w:val="clear" w:pos="851"/>
        </w:tabs>
        <w:spacing w:before="0" w:after="80"/>
        <w:rPr>
          <w:color w:val="595959"/>
        </w:rPr>
      </w:pPr>
      <w:bookmarkStart w:id="161" w:name="_Toc465259728"/>
      <w:bookmarkStart w:id="162" w:name="_Toc467133532"/>
      <w:r w:rsidRPr="003B7DC4">
        <w:rPr>
          <w:color w:val="595959"/>
        </w:rPr>
        <w:t>Leadership</w:t>
      </w:r>
      <w:bookmarkEnd w:id="161"/>
      <w:bookmarkEnd w:id="162"/>
    </w:p>
    <w:p w:rsidR="00D14BF8" w:rsidRPr="00857C3D" w:rsidRDefault="00D14BF8" w:rsidP="00D14BF8">
      <w:r w:rsidRPr="00857C3D">
        <w:t>The</w:t>
      </w:r>
      <w:r>
        <w:t xml:space="preserve"> NSW</w:t>
      </w:r>
      <w:r w:rsidRPr="00857C3D">
        <w:t xml:space="preserve"> FACS </w:t>
      </w:r>
      <w:r>
        <w:t>data</w:t>
      </w:r>
      <w:r w:rsidRPr="00857C3D">
        <w:t xml:space="preserve"> indicated that</w:t>
      </w:r>
      <w:r>
        <w:t xml:space="preserve"> there were</w:t>
      </w:r>
      <w:r w:rsidRPr="00857C3D">
        <w:t xml:space="preserve"> </w:t>
      </w:r>
      <w:r>
        <w:t>806</w:t>
      </w:r>
      <w:r w:rsidRPr="00857C3D">
        <w:t xml:space="preserve"> (extrapolated for 12 months) </w:t>
      </w:r>
      <w:r>
        <w:t>outcomes under the leadership, education and awareness category</w:t>
      </w:r>
      <w:r w:rsidRPr="00857C3D">
        <w:t xml:space="preserve">. Of these, </w:t>
      </w:r>
      <w:r>
        <w:t>388</w:t>
      </w:r>
      <w:r w:rsidRPr="00857C3D">
        <w:t xml:space="preserve"> </w:t>
      </w:r>
      <w:r>
        <w:t>outcomes related to</w:t>
      </w:r>
      <w:r w:rsidRPr="00857C3D">
        <w:t xml:space="preserve"> host</w:t>
      </w:r>
      <w:r>
        <w:t>ing</w:t>
      </w:r>
      <w:r w:rsidRPr="00857C3D">
        <w:t xml:space="preserve"> education or awareness raising activities. </w:t>
      </w:r>
    </w:p>
    <w:p w:rsidR="00D14BF8" w:rsidRDefault="00D14BF8" w:rsidP="00D14BF8">
      <w:r w:rsidRPr="00857C3D">
        <w:t xml:space="preserve">It is difficult to quantify the direct economic benefits of these types of activities. A potential proxy to calculate the benefits is the cost of undertaking these activities. However, </w:t>
      </w:r>
      <w:r>
        <w:t>available data did</w:t>
      </w:r>
      <w:r w:rsidRPr="00857C3D">
        <w:t xml:space="preserve"> not have sufficient information about what the education and awareness activities </w:t>
      </w:r>
      <w:r>
        <w:t>undertaken included and/or the cost.</w:t>
      </w:r>
    </w:p>
    <w:p w:rsidR="00D14BF8" w:rsidRPr="00237C20" w:rsidRDefault="00D14BF8" w:rsidP="00C741E7">
      <w:pPr>
        <w:pStyle w:val="Heading1"/>
        <w:keepLines/>
        <w:tabs>
          <w:tab w:val="clear" w:pos="851"/>
        </w:tabs>
        <w:spacing w:before="0" w:after="160"/>
        <w:contextualSpacing w:val="0"/>
      </w:pPr>
      <w:bookmarkStart w:id="163" w:name="_Ref460481597"/>
      <w:bookmarkStart w:id="164" w:name="_Toc465259729"/>
      <w:bookmarkStart w:id="165" w:name="_Toc467133533"/>
      <w:r>
        <w:lastRenderedPageBreak/>
        <w:t>Cost benefit analysis</w:t>
      </w:r>
      <w:bookmarkEnd w:id="163"/>
      <w:bookmarkEnd w:id="164"/>
      <w:bookmarkEnd w:id="165"/>
    </w:p>
    <w:p w:rsidR="00D14BF8" w:rsidRDefault="00D14BF8" w:rsidP="00D14BF8">
      <w:r>
        <w:t>The CBA examines whether the net economic and social benefits of the ALNSW and ELNSW programs outweighed the costs, by comparing the NPV of benefits and costs over the same time period. The NPV is derived using a 7% real discount rate</w:t>
      </w:r>
      <w:r>
        <w:rPr>
          <w:rStyle w:val="FootnoteReference"/>
        </w:rPr>
        <w:footnoteReference w:id="6"/>
      </w:r>
      <w:r>
        <w:t xml:space="preserve">. </w:t>
      </w:r>
    </w:p>
    <w:p w:rsidR="00D14BF8" w:rsidRDefault="00D14BF8" w:rsidP="00D14BF8">
      <w:r>
        <w:t>Analysis has been undertaken on ALNSW and ELNSW separately, as well as on the program as a whole. Results are presented as:</w:t>
      </w:r>
    </w:p>
    <w:p w:rsidR="00D14BF8" w:rsidRDefault="00D14BF8" w:rsidP="00D43846">
      <w:pPr>
        <w:pStyle w:val="ListBullet"/>
        <w:numPr>
          <w:ilvl w:val="0"/>
          <w:numId w:val="21"/>
        </w:numPr>
      </w:pPr>
      <w:r>
        <w:t xml:space="preserve">the net benefit (cost) in NPV terms – representing </w:t>
      </w:r>
      <w:r w:rsidRPr="00A55A68">
        <w:rPr>
          <w:b/>
        </w:rPr>
        <w:t>total value generated</w:t>
      </w:r>
      <w:r>
        <w:t>, expressed as total benefits minus total costs</w:t>
      </w:r>
    </w:p>
    <w:p w:rsidR="00D14BF8" w:rsidRDefault="00D14BF8" w:rsidP="00D43846">
      <w:pPr>
        <w:pStyle w:val="ListBullet"/>
        <w:numPr>
          <w:ilvl w:val="0"/>
          <w:numId w:val="21"/>
        </w:numPr>
      </w:pPr>
      <w:proofErr w:type="gramStart"/>
      <w:r>
        <w:t>a</w:t>
      </w:r>
      <w:proofErr w:type="gramEnd"/>
      <w:r>
        <w:t xml:space="preserve"> Benefit-Cost Ratio (BCR) – demonstrating the </w:t>
      </w:r>
      <w:r w:rsidRPr="00A55A68">
        <w:rPr>
          <w:b/>
        </w:rPr>
        <w:t>ratio</w:t>
      </w:r>
      <w:r>
        <w:t xml:space="preserve"> of benefits to costs expressed as a multiple. </w:t>
      </w:r>
    </w:p>
    <w:p w:rsidR="00D14BF8" w:rsidRPr="00A55A68" w:rsidRDefault="00D14BF8" w:rsidP="00D14BF8">
      <w:pPr>
        <w:pStyle w:val="ListBullet"/>
        <w:tabs>
          <w:tab w:val="clear" w:pos="360"/>
        </w:tabs>
        <w:ind w:left="0" w:firstLine="0"/>
        <w:rPr>
          <w:b/>
        </w:rPr>
      </w:pPr>
      <w:r w:rsidRPr="00A55A68">
        <w:rPr>
          <w:b/>
        </w:rPr>
        <w:t>A net benefit greater than zero and a BCR greater than one indicate that the benefits of a program outweigh the costs.</w:t>
      </w:r>
    </w:p>
    <w:p w:rsidR="00D14BF8" w:rsidRPr="003B7DC4" w:rsidRDefault="00D14BF8" w:rsidP="00D14BF8">
      <w:pPr>
        <w:pStyle w:val="Heading2"/>
        <w:tabs>
          <w:tab w:val="clear" w:pos="851"/>
        </w:tabs>
        <w:spacing w:before="360"/>
        <w:rPr>
          <w:iCs w:val="0"/>
        </w:rPr>
      </w:pPr>
      <w:bookmarkStart w:id="166" w:name="_Ref462924783"/>
      <w:bookmarkStart w:id="167" w:name="_Toc465259730"/>
      <w:bookmarkStart w:id="168" w:name="_Toc467133534"/>
      <w:r w:rsidRPr="003B7DC4">
        <w:rPr>
          <w:iCs w:val="0"/>
        </w:rPr>
        <w:t>All participants</w:t>
      </w:r>
      <w:bookmarkEnd w:id="166"/>
      <w:bookmarkEnd w:id="167"/>
      <w:bookmarkEnd w:id="168"/>
    </w:p>
    <w:p w:rsidR="00D14BF8" w:rsidRDefault="00D14BF8" w:rsidP="00D14BF8">
      <w:r>
        <w:t>Program costs for ALNSW and ELNSW are not available as distinct costs and have therefore been estimated using the proportion of Linkers in each program. Of the 347 total Linkers, 286 (77%) are in ALNSW and 79 (23%) are in ELNSW. Across both programs, there are 74 Aboriginal-identified Linkers - 47 in ALNSW and 27 in ELNSW.</w:t>
      </w:r>
    </w:p>
    <w:p w:rsidR="00D14BF8" w:rsidRDefault="00D14BF8" w:rsidP="00D14BF8">
      <w:r>
        <w:t>In terms of outcomes, 58% of the total participants who have engaged in the program are in ALNSW, while 42% are in ELNSW. This indicates that ALNSW has higher unit costs per outcome than ELNSW. This is not surprising given that ELNSW typically generates benefits for multiple family members.</w:t>
      </w:r>
    </w:p>
    <w:p w:rsidR="00D14BF8" w:rsidRPr="00770791" w:rsidRDefault="00D14BF8" w:rsidP="00770791">
      <w:pPr>
        <w:spacing w:before="0" w:after="0"/>
        <w:rPr>
          <w:rFonts w:cs="Courier New"/>
          <w:b/>
          <w:bCs/>
          <w:color w:val="404040"/>
        </w:rPr>
      </w:pPr>
      <w:r>
        <w:t xml:space="preserve">Results are presented in </w:t>
      </w:r>
      <w:r>
        <w:fldChar w:fldCharType="begin"/>
      </w:r>
      <w:r>
        <w:instrText xml:space="preserve"> REF _Ref460340326 \h </w:instrText>
      </w:r>
      <w:r>
        <w:fldChar w:fldCharType="separate"/>
      </w:r>
      <w:r w:rsidR="00770791" w:rsidRPr="003B7DC4">
        <w:t>Table</w:t>
      </w:r>
      <w:r w:rsidR="00770791">
        <w:t>s</w:t>
      </w:r>
      <w:r w:rsidR="00770791" w:rsidRPr="003B7DC4">
        <w:t xml:space="preserve"> </w:t>
      </w:r>
      <w:r w:rsidR="00770791">
        <w:rPr>
          <w:noProof/>
        </w:rPr>
        <w:t>4</w:t>
      </w:r>
      <w:r w:rsidR="00770791" w:rsidRPr="003B7DC4">
        <w:noBreakHyphen/>
      </w:r>
      <w:r w:rsidR="00770791">
        <w:rPr>
          <w:noProof/>
        </w:rPr>
        <w:t>1</w:t>
      </w:r>
      <w:r>
        <w:fldChar w:fldCharType="end"/>
      </w:r>
      <w:r>
        <w:t xml:space="preserve"> </w:t>
      </w:r>
      <w:r w:rsidR="00963F4C">
        <w:t>following</w:t>
      </w:r>
      <w:r>
        <w:t xml:space="preserve"> for ALNSW, ELNSW and across the total program. </w:t>
      </w:r>
    </w:p>
    <w:p w:rsidR="00D14BF8" w:rsidRDefault="00D14BF8" w:rsidP="00D14BF8">
      <w:r w:rsidRPr="00053784">
        <w:rPr>
          <w:b/>
        </w:rPr>
        <w:t>The BCR for the total program is 3.0, driven by the significant value of social benefits.</w:t>
      </w:r>
      <w:r>
        <w:rPr>
          <w:b/>
        </w:rPr>
        <w:t xml:space="preserve"> </w:t>
      </w:r>
      <w:r>
        <w:t>ELNSW has a BCR of 5.1, compared with a BCR of 2.4</w:t>
      </w:r>
      <w:r w:rsidRPr="00053784">
        <w:t xml:space="preserve"> </w:t>
      </w:r>
      <w:r>
        <w:t xml:space="preserve">for ALNSW. </w:t>
      </w:r>
    </w:p>
    <w:p w:rsidR="00D14BF8" w:rsidRDefault="00D14BF8" w:rsidP="00D14BF8">
      <w:r>
        <w:t xml:space="preserve">When including only economic benefits, the BCR for the total program still exceeds one – at 1.1. This is also true for ELNSW, with a BCR for economic benefits only of 1.7. However, when excluding social benefits, the BCR for ALNSW is 0.9. </w:t>
      </w:r>
    </w:p>
    <w:p w:rsidR="00D14BF8" w:rsidRDefault="00D14BF8" w:rsidP="00D14BF8">
      <w:r>
        <w:t>If an economic value could be placed on the range of unquantified community benefits, this would see the BCR (for economic benefits only) of ALNSW move above one.</w:t>
      </w:r>
    </w:p>
    <w:p w:rsidR="00B03354" w:rsidRDefault="00B03354">
      <w:pPr>
        <w:spacing w:before="0" w:after="0"/>
        <w:rPr>
          <w:rFonts w:cs="Courier New"/>
          <w:b/>
          <w:bCs/>
          <w:color w:val="404040"/>
        </w:rPr>
      </w:pPr>
      <w:bookmarkStart w:id="169" w:name="_Ref460340326"/>
      <w:bookmarkStart w:id="170" w:name="_Toc466025153"/>
      <w:r>
        <w:br w:type="page"/>
      </w:r>
    </w:p>
    <w:p w:rsidR="00D14BF8" w:rsidRPr="003B7DC4" w:rsidRDefault="00D14BF8" w:rsidP="00D14BF8">
      <w:pPr>
        <w:pStyle w:val="Caption"/>
        <w:rPr>
          <w:sz w:val="20"/>
          <w:szCs w:val="20"/>
        </w:rPr>
      </w:pPr>
      <w:bookmarkStart w:id="171" w:name="_Toc467137556"/>
      <w:r w:rsidRPr="003B7DC4">
        <w:rPr>
          <w:sz w:val="20"/>
          <w:szCs w:val="20"/>
        </w:rPr>
        <w:lastRenderedPageBreak/>
        <w:t>Table</w:t>
      </w:r>
      <w:r w:rsidR="00B03354">
        <w:rPr>
          <w:sz w:val="20"/>
          <w:szCs w:val="20"/>
        </w:rPr>
        <w:t>s</w:t>
      </w:r>
      <w:r w:rsidRPr="003B7DC4">
        <w:rPr>
          <w:sz w:val="20"/>
          <w:szCs w:val="20"/>
        </w:rPr>
        <w:t xml:space="preserv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4</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1</w:t>
      </w:r>
      <w:r w:rsidRPr="003B7DC4">
        <w:rPr>
          <w:noProof/>
          <w:sz w:val="20"/>
          <w:szCs w:val="20"/>
        </w:rPr>
        <w:fldChar w:fldCharType="end"/>
      </w:r>
      <w:bookmarkEnd w:id="169"/>
      <w:r w:rsidRPr="003B7DC4">
        <w:rPr>
          <w:sz w:val="20"/>
          <w:szCs w:val="20"/>
        </w:rPr>
        <w:t xml:space="preserve"> – CBA results</w:t>
      </w:r>
      <w:bookmarkEnd w:id="170"/>
      <w:bookmarkEnd w:id="171"/>
      <w:r w:rsidRPr="003B7DC4">
        <w:rPr>
          <w:sz w:val="20"/>
          <w:szCs w:val="20"/>
        </w:rPr>
        <w:t xml:space="preserve"> </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social cost benefit analysis by ALNSW and ELNSW."/>
      </w:tblPr>
      <w:tblGrid>
        <w:gridCol w:w="3094"/>
        <w:gridCol w:w="2159"/>
        <w:gridCol w:w="2159"/>
        <w:gridCol w:w="2160"/>
      </w:tblGrid>
      <w:tr w:rsidR="0012750B" w:rsidRPr="000C350F" w:rsidTr="000F2E6C">
        <w:trPr>
          <w:cnfStyle w:val="100000000000" w:firstRow="1" w:lastRow="0" w:firstColumn="0" w:lastColumn="0" w:oddVBand="0" w:evenVBand="0" w:oddHBand="0" w:evenHBand="0" w:firstRowFirstColumn="0" w:firstRowLastColumn="0" w:lastRowFirstColumn="0" w:lastRowLastColumn="0"/>
          <w:tblHeader/>
        </w:trPr>
        <w:tc>
          <w:tcPr>
            <w:tcW w:w="309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12750B" w:rsidRPr="0020039C" w:rsidRDefault="00D572B6" w:rsidP="0012750B">
            <w:pPr>
              <w:spacing w:after="60"/>
              <w:rPr>
                <w:b/>
                <w:color w:val="auto"/>
              </w:rPr>
            </w:pPr>
            <w:bookmarkStart w:id="172" w:name="ColumnTitle_Table5_1a"/>
            <w:bookmarkStart w:id="173" w:name="ColumnTitle_Table5_1a_header" w:colFirst="0" w:colLast="4"/>
            <w:bookmarkEnd w:id="172"/>
            <w:r>
              <w:rPr>
                <w:b/>
                <w:color w:val="auto"/>
              </w:rPr>
              <w:t>Item</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ALNSW</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ELNSW</w:t>
            </w:r>
          </w:p>
        </w:tc>
        <w:tc>
          <w:tcPr>
            <w:tcW w:w="21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Total</w:t>
            </w:r>
          </w:p>
        </w:tc>
      </w:tr>
      <w:bookmarkEnd w:id="173"/>
      <w:tr w:rsidR="0012750B" w:rsidRPr="000C350F" w:rsidTr="00D803EE">
        <w:trPr>
          <w:cnfStyle w:val="000000100000" w:firstRow="0" w:lastRow="0" w:firstColumn="0" w:lastColumn="0" w:oddVBand="0" w:evenVBand="0" w:oddHBand="1" w:evenHBand="0" w:firstRowFirstColumn="0" w:firstRowLastColumn="0" w:lastRowFirstColumn="0" w:lastRowLastColumn="0"/>
        </w:trPr>
        <w:tc>
          <w:tcPr>
            <w:tcW w:w="3094" w:type="dxa"/>
            <w:tcBorders>
              <w:top w:val="single" w:sz="18" w:space="0" w:color="808080" w:themeColor="background1" w:themeShade="80"/>
            </w:tcBorders>
            <w:shd w:val="clear" w:color="auto" w:fill="auto"/>
            <w:vAlign w:val="center"/>
          </w:tcPr>
          <w:p w:rsidR="0012750B" w:rsidRPr="000C350F" w:rsidRDefault="0012750B" w:rsidP="0012750B">
            <w:pPr>
              <w:spacing w:after="60"/>
            </w:pPr>
            <w:r w:rsidRPr="000C350F">
              <w:t>Economic benefits (NPV)</w:t>
            </w:r>
          </w:p>
        </w:tc>
        <w:tc>
          <w:tcPr>
            <w:tcW w:w="2159" w:type="dxa"/>
            <w:tcBorders>
              <w:top w:val="single" w:sz="18" w:space="0" w:color="808080" w:themeColor="background1" w:themeShade="80"/>
            </w:tcBorders>
            <w:shd w:val="clear" w:color="auto" w:fill="auto"/>
            <w:vAlign w:val="center"/>
          </w:tcPr>
          <w:p w:rsidR="0012750B" w:rsidRPr="000C350F" w:rsidRDefault="0012750B" w:rsidP="0012750B">
            <w:pPr>
              <w:spacing w:after="60"/>
            </w:pPr>
            <w:r w:rsidRPr="000C350F">
              <w:t>$29.9m</w:t>
            </w:r>
          </w:p>
        </w:tc>
        <w:tc>
          <w:tcPr>
            <w:tcW w:w="2159" w:type="dxa"/>
            <w:tcBorders>
              <w:top w:val="single" w:sz="18" w:space="0" w:color="808080" w:themeColor="background1" w:themeShade="80"/>
            </w:tcBorders>
            <w:shd w:val="clear" w:color="auto" w:fill="auto"/>
            <w:vAlign w:val="center"/>
          </w:tcPr>
          <w:p w:rsidR="0012750B" w:rsidRPr="000C350F" w:rsidRDefault="00330772" w:rsidP="0012750B">
            <w:pPr>
              <w:spacing w:after="60"/>
            </w:pPr>
            <w:r>
              <w:t>$16.0</w:t>
            </w:r>
            <w:r w:rsidR="0012750B" w:rsidRPr="000C350F">
              <w:t>m</w:t>
            </w:r>
          </w:p>
        </w:tc>
        <w:tc>
          <w:tcPr>
            <w:tcW w:w="2160" w:type="dxa"/>
            <w:tcBorders>
              <w:top w:val="single" w:sz="18" w:space="0" w:color="808080" w:themeColor="background1" w:themeShade="80"/>
            </w:tcBorders>
            <w:shd w:val="clear" w:color="auto" w:fill="auto"/>
            <w:vAlign w:val="center"/>
          </w:tcPr>
          <w:p w:rsidR="0012750B" w:rsidRPr="000C350F" w:rsidRDefault="00330772" w:rsidP="0012750B">
            <w:pPr>
              <w:spacing w:after="60"/>
            </w:pPr>
            <w:r>
              <w:t>$45.8</w:t>
            </w:r>
            <w:r w:rsidR="0012750B" w:rsidRPr="000C350F">
              <w:t>m</w:t>
            </w:r>
          </w:p>
        </w:tc>
      </w:tr>
      <w:tr w:rsidR="0012750B" w:rsidRPr="000C350F" w:rsidTr="00D803EE">
        <w:tc>
          <w:tcPr>
            <w:tcW w:w="3094" w:type="dxa"/>
            <w:vAlign w:val="center"/>
          </w:tcPr>
          <w:p w:rsidR="0012750B" w:rsidRPr="000C350F" w:rsidRDefault="0012750B" w:rsidP="0012750B">
            <w:pPr>
              <w:spacing w:after="60"/>
            </w:pPr>
            <w:r w:rsidRPr="000C350F">
              <w:t>Social benefits (NPV)</w:t>
            </w:r>
          </w:p>
        </w:tc>
        <w:tc>
          <w:tcPr>
            <w:tcW w:w="2159" w:type="dxa"/>
            <w:vAlign w:val="center"/>
          </w:tcPr>
          <w:p w:rsidR="0012750B" w:rsidRPr="000C350F" w:rsidRDefault="0012750B" w:rsidP="0012750B">
            <w:pPr>
              <w:spacing w:after="60"/>
            </w:pPr>
            <w:r w:rsidRPr="000C350F">
              <w:t>$48.1m</w:t>
            </w:r>
          </w:p>
        </w:tc>
        <w:tc>
          <w:tcPr>
            <w:tcW w:w="2159" w:type="dxa"/>
            <w:vAlign w:val="center"/>
          </w:tcPr>
          <w:p w:rsidR="0012750B" w:rsidRPr="000C350F" w:rsidRDefault="0012750B" w:rsidP="0012750B">
            <w:pPr>
              <w:spacing w:after="60"/>
            </w:pPr>
            <w:r w:rsidRPr="000C350F">
              <w:t>$33.4m</w:t>
            </w:r>
          </w:p>
        </w:tc>
        <w:tc>
          <w:tcPr>
            <w:tcW w:w="2160" w:type="dxa"/>
            <w:vAlign w:val="center"/>
          </w:tcPr>
          <w:p w:rsidR="0012750B" w:rsidRPr="000C350F" w:rsidRDefault="0012750B" w:rsidP="0012750B">
            <w:pPr>
              <w:spacing w:after="60"/>
            </w:pPr>
            <w:r w:rsidRPr="000C350F">
              <w:t>$81.5m</w:t>
            </w:r>
          </w:p>
        </w:tc>
      </w:tr>
      <w:tr w:rsidR="0012750B" w:rsidRPr="000C350F" w:rsidTr="00D803EE">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vAlign w:val="center"/>
          </w:tcPr>
          <w:p w:rsidR="0012750B" w:rsidRPr="000C350F" w:rsidRDefault="0012750B" w:rsidP="0012750B">
            <w:pPr>
              <w:spacing w:after="60"/>
              <w:rPr>
                <w:b/>
              </w:rPr>
            </w:pPr>
            <w:r w:rsidRPr="000C350F">
              <w:rPr>
                <w:b/>
              </w:rPr>
              <w:t>Total benefits (NPV)</w:t>
            </w:r>
          </w:p>
        </w:tc>
        <w:tc>
          <w:tcPr>
            <w:tcW w:w="2159" w:type="dxa"/>
            <w:shd w:val="clear" w:color="auto" w:fill="auto"/>
            <w:vAlign w:val="center"/>
          </w:tcPr>
          <w:p w:rsidR="0012750B" w:rsidRPr="000C350F" w:rsidRDefault="0012750B" w:rsidP="00330772">
            <w:pPr>
              <w:spacing w:after="60"/>
              <w:rPr>
                <w:b/>
              </w:rPr>
            </w:pPr>
            <w:r w:rsidRPr="000C350F">
              <w:rPr>
                <w:b/>
              </w:rPr>
              <w:t>$78.</w:t>
            </w:r>
            <w:r w:rsidR="00330772">
              <w:rPr>
                <w:b/>
              </w:rPr>
              <w:t>0</w:t>
            </w:r>
            <w:r w:rsidRPr="000C350F">
              <w:rPr>
                <w:b/>
              </w:rPr>
              <w:t>m</w:t>
            </w:r>
          </w:p>
        </w:tc>
        <w:tc>
          <w:tcPr>
            <w:tcW w:w="2159" w:type="dxa"/>
            <w:shd w:val="clear" w:color="auto" w:fill="auto"/>
            <w:vAlign w:val="center"/>
          </w:tcPr>
          <w:p w:rsidR="0012750B" w:rsidRPr="000C350F" w:rsidRDefault="0012750B" w:rsidP="0012750B">
            <w:pPr>
              <w:spacing w:after="60"/>
              <w:rPr>
                <w:b/>
              </w:rPr>
            </w:pPr>
            <w:r w:rsidRPr="000C350F">
              <w:rPr>
                <w:b/>
              </w:rPr>
              <w:t>$49.5m</w:t>
            </w:r>
          </w:p>
        </w:tc>
        <w:tc>
          <w:tcPr>
            <w:tcW w:w="2160" w:type="dxa"/>
            <w:shd w:val="clear" w:color="auto" w:fill="auto"/>
            <w:vAlign w:val="center"/>
          </w:tcPr>
          <w:p w:rsidR="0012750B" w:rsidRPr="000C350F" w:rsidRDefault="0012750B" w:rsidP="00330772">
            <w:pPr>
              <w:spacing w:after="60"/>
              <w:rPr>
                <w:b/>
              </w:rPr>
            </w:pPr>
            <w:r w:rsidRPr="000C350F">
              <w:rPr>
                <w:b/>
              </w:rPr>
              <w:t>$127.</w:t>
            </w:r>
            <w:r w:rsidR="00330772">
              <w:rPr>
                <w:b/>
              </w:rPr>
              <w:t>3</w:t>
            </w:r>
            <w:r w:rsidRPr="000C350F">
              <w:rPr>
                <w:b/>
              </w:rPr>
              <w:t>m</w:t>
            </w:r>
          </w:p>
        </w:tc>
      </w:tr>
      <w:tr w:rsidR="0012750B" w:rsidRPr="000C350F" w:rsidTr="00D803EE">
        <w:tc>
          <w:tcPr>
            <w:tcW w:w="3094" w:type="dxa"/>
            <w:vAlign w:val="center"/>
          </w:tcPr>
          <w:p w:rsidR="0012750B" w:rsidRPr="000C350F" w:rsidRDefault="0012750B" w:rsidP="0012750B">
            <w:pPr>
              <w:spacing w:after="60"/>
            </w:pPr>
            <w:r w:rsidRPr="000C350F">
              <w:t>Total costs (NPV)</w:t>
            </w:r>
          </w:p>
        </w:tc>
        <w:tc>
          <w:tcPr>
            <w:tcW w:w="2159" w:type="dxa"/>
            <w:vAlign w:val="center"/>
          </w:tcPr>
          <w:p w:rsidR="0012750B" w:rsidRPr="000C350F" w:rsidRDefault="0012750B" w:rsidP="0012750B">
            <w:pPr>
              <w:spacing w:after="60"/>
            </w:pPr>
            <w:r w:rsidRPr="000C350F">
              <w:t>$32.8m</w:t>
            </w:r>
          </w:p>
        </w:tc>
        <w:tc>
          <w:tcPr>
            <w:tcW w:w="2159" w:type="dxa"/>
            <w:vAlign w:val="center"/>
          </w:tcPr>
          <w:p w:rsidR="0012750B" w:rsidRPr="000C350F" w:rsidRDefault="0012750B" w:rsidP="0012750B">
            <w:pPr>
              <w:spacing w:after="60"/>
            </w:pPr>
            <w:r w:rsidRPr="000C350F">
              <w:t>$9.7m</w:t>
            </w:r>
          </w:p>
        </w:tc>
        <w:tc>
          <w:tcPr>
            <w:tcW w:w="2160" w:type="dxa"/>
            <w:vAlign w:val="center"/>
          </w:tcPr>
          <w:p w:rsidR="0012750B" w:rsidRPr="000C350F" w:rsidRDefault="0012750B" w:rsidP="0012750B">
            <w:pPr>
              <w:spacing w:after="60"/>
            </w:pPr>
            <w:r w:rsidRPr="000C350F">
              <w:t>$42.5m</w:t>
            </w:r>
          </w:p>
        </w:tc>
      </w:tr>
      <w:tr w:rsidR="0012750B" w:rsidRPr="000C350F" w:rsidTr="00D803EE">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vAlign w:val="center"/>
          </w:tcPr>
          <w:p w:rsidR="0012750B" w:rsidRPr="000C350F" w:rsidRDefault="0012750B" w:rsidP="0012750B">
            <w:pPr>
              <w:spacing w:after="60"/>
              <w:rPr>
                <w:b/>
              </w:rPr>
            </w:pPr>
            <w:r w:rsidRPr="000C350F">
              <w:rPr>
                <w:b/>
              </w:rPr>
              <w:t>Net benefit (all benefits)</w:t>
            </w:r>
          </w:p>
        </w:tc>
        <w:tc>
          <w:tcPr>
            <w:tcW w:w="2159" w:type="dxa"/>
            <w:shd w:val="clear" w:color="auto" w:fill="auto"/>
            <w:vAlign w:val="center"/>
          </w:tcPr>
          <w:p w:rsidR="0012750B" w:rsidRPr="000C350F" w:rsidRDefault="00330772" w:rsidP="0012750B">
            <w:pPr>
              <w:spacing w:after="60"/>
              <w:rPr>
                <w:b/>
              </w:rPr>
            </w:pPr>
            <w:r>
              <w:rPr>
                <w:b/>
              </w:rPr>
              <w:t>$45.2</w:t>
            </w:r>
            <w:r w:rsidR="0012750B" w:rsidRPr="000C350F">
              <w:rPr>
                <w:b/>
              </w:rPr>
              <w:t>m</w:t>
            </w:r>
          </w:p>
        </w:tc>
        <w:tc>
          <w:tcPr>
            <w:tcW w:w="2159" w:type="dxa"/>
            <w:shd w:val="clear" w:color="auto" w:fill="auto"/>
            <w:vAlign w:val="center"/>
          </w:tcPr>
          <w:p w:rsidR="0012750B" w:rsidRPr="000C350F" w:rsidRDefault="00330772" w:rsidP="0012750B">
            <w:pPr>
              <w:spacing w:after="60"/>
              <w:rPr>
                <w:b/>
              </w:rPr>
            </w:pPr>
            <w:r>
              <w:rPr>
                <w:b/>
              </w:rPr>
              <w:t>$39.7</w:t>
            </w:r>
            <w:r w:rsidR="0012750B" w:rsidRPr="000C350F">
              <w:rPr>
                <w:b/>
              </w:rPr>
              <w:t>m</w:t>
            </w:r>
          </w:p>
        </w:tc>
        <w:tc>
          <w:tcPr>
            <w:tcW w:w="2160" w:type="dxa"/>
            <w:shd w:val="clear" w:color="auto" w:fill="auto"/>
            <w:vAlign w:val="center"/>
          </w:tcPr>
          <w:p w:rsidR="0012750B" w:rsidRPr="000C350F" w:rsidRDefault="00330772" w:rsidP="0012750B">
            <w:pPr>
              <w:spacing w:after="60"/>
              <w:rPr>
                <w:b/>
              </w:rPr>
            </w:pPr>
            <w:r>
              <w:rPr>
                <w:b/>
              </w:rPr>
              <w:t>$84.9</w:t>
            </w:r>
            <w:r w:rsidR="0012750B" w:rsidRPr="000C350F">
              <w:rPr>
                <w:b/>
              </w:rPr>
              <w:t>m</w:t>
            </w:r>
          </w:p>
        </w:tc>
      </w:tr>
    </w:tbl>
    <w:p w:rsidR="0012750B" w:rsidRPr="0069578E" w:rsidRDefault="0012750B"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Details of the benefit-cost ratio for ALNSW and ELNSW."/>
      </w:tblPr>
      <w:tblGrid>
        <w:gridCol w:w="3094"/>
        <w:gridCol w:w="2159"/>
        <w:gridCol w:w="2159"/>
        <w:gridCol w:w="2160"/>
      </w:tblGrid>
      <w:tr w:rsidR="0012750B" w:rsidRPr="000C350F" w:rsidTr="001D2934">
        <w:trPr>
          <w:cnfStyle w:val="100000000000" w:firstRow="1" w:lastRow="0" w:firstColumn="0" w:lastColumn="0" w:oddVBand="0" w:evenVBand="0" w:oddHBand="0" w:evenHBand="0" w:firstRowFirstColumn="0" w:firstRowLastColumn="0" w:lastRowFirstColumn="0" w:lastRowLastColumn="0"/>
          <w:tblHeader/>
        </w:trPr>
        <w:tc>
          <w:tcPr>
            <w:tcW w:w="309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12750B" w:rsidRPr="0020039C" w:rsidRDefault="0012750B" w:rsidP="0012750B">
            <w:pPr>
              <w:spacing w:after="60"/>
              <w:rPr>
                <w:b/>
                <w:color w:val="auto"/>
              </w:rPr>
            </w:pPr>
            <w:bookmarkStart w:id="174" w:name="ColumnTitle_Table5_1"/>
            <w:bookmarkStart w:id="175" w:name="ColumnTitle_Table5_1b"/>
            <w:bookmarkStart w:id="176" w:name="ColumnTitle_Table5_1b_header" w:colFirst="0" w:colLast="4"/>
            <w:bookmarkEnd w:id="174"/>
            <w:bookmarkEnd w:id="175"/>
            <w:r w:rsidRPr="0020039C">
              <w:rPr>
                <w:b/>
                <w:color w:val="auto"/>
              </w:rPr>
              <w:t>BCR</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ALNSW</w:t>
            </w:r>
          </w:p>
        </w:tc>
        <w:tc>
          <w:tcPr>
            <w:tcW w:w="215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ELNSW</w:t>
            </w:r>
          </w:p>
        </w:tc>
        <w:tc>
          <w:tcPr>
            <w:tcW w:w="21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top"/>
          </w:tcPr>
          <w:p w:rsidR="0012750B" w:rsidRPr="000C350F" w:rsidRDefault="0012750B" w:rsidP="0012750B">
            <w:pPr>
              <w:spacing w:after="60"/>
              <w:rPr>
                <w:b/>
                <w:color w:val="auto"/>
              </w:rPr>
            </w:pPr>
            <w:r w:rsidRPr="000C350F">
              <w:rPr>
                <w:b/>
                <w:color w:val="auto"/>
              </w:rPr>
              <w:t>Total</w:t>
            </w:r>
          </w:p>
        </w:tc>
      </w:tr>
      <w:bookmarkEnd w:id="176"/>
      <w:tr w:rsidR="0012750B" w:rsidRPr="000C350F" w:rsidTr="00D803EE">
        <w:trPr>
          <w:cnfStyle w:val="000000100000" w:firstRow="0" w:lastRow="0" w:firstColumn="0" w:lastColumn="0" w:oddVBand="0" w:evenVBand="0" w:oddHBand="1" w:evenHBand="0" w:firstRowFirstColumn="0" w:firstRowLastColumn="0" w:lastRowFirstColumn="0" w:lastRowLastColumn="0"/>
        </w:trPr>
        <w:tc>
          <w:tcPr>
            <w:tcW w:w="3094" w:type="dxa"/>
            <w:shd w:val="clear" w:color="auto" w:fill="auto"/>
          </w:tcPr>
          <w:p w:rsidR="0012750B" w:rsidRPr="000C350F" w:rsidRDefault="0012750B" w:rsidP="0012750B">
            <w:pPr>
              <w:spacing w:after="60"/>
              <w:rPr>
                <w:b/>
              </w:rPr>
            </w:pPr>
            <w:r w:rsidRPr="000C350F">
              <w:rPr>
                <w:b/>
              </w:rPr>
              <w:t>Total benefits</w:t>
            </w:r>
          </w:p>
        </w:tc>
        <w:tc>
          <w:tcPr>
            <w:tcW w:w="2159" w:type="dxa"/>
            <w:shd w:val="clear" w:color="auto" w:fill="auto"/>
            <w:vAlign w:val="top"/>
          </w:tcPr>
          <w:p w:rsidR="0012750B" w:rsidRPr="000C350F" w:rsidRDefault="0012750B" w:rsidP="0012750B">
            <w:pPr>
              <w:spacing w:after="60"/>
              <w:rPr>
                <w:b/>
              </w:rPr>
            </w:pPr>
            <w:r w:rsidRPr="000C350F">
              <w:rPr>
                <w:b/>
              </w:rPr>
              <w:t>2.4</w:t>
            </w:r>
          </w:p>
        </w:tc>
        <w:tc>
          <w:tcPr>
            <w:tcW w:w="2159" w:type="dxa"/>
            <w:shd w:val="clear" w:color="auto" w:fill="auto"/>
            <w:vAlign w:val="top"/>
          </w:tcPr>
          <w:p w:rsidR="0012750B" w:rsidRPr="000C350F" w:rsidRDefault="0012750B" w:rsidP="0012750B">
            <w:pPr>
              <w:spacing w:after="60"/>
              <w:rPr>
                <w:b/>
              </w:rPr>
            </w:pPr>
            <w:r w:rsidRPr="000C350F">
              <w:rPr>
                <w:b/>
              </w:rPr>
              <w:t>5.1</w:t>
            </w:r>
          </w:p>
        </w:tc>
        <w:tc>
          <w:tcPr>
            <w:tcW w:w="2160" w:type="dxa"/>
            <w:shd w:val="clear" w:color="auto" w:fill="auto"/>
            <w:vAlign w:val="top"/>
          </w:tcPr>
          <w:p w:rsidR="0012750B" w:rsidRPr="000C350F" w:rsidRDefault="0012750B" w:rsidP="0012750B">
            <w:pPr>
              <w:spacing w:after="60"/>
              <w:rPr>
                <w:b/>
              </w:rPr>
            </w:pPr>
            <w:r w:rsidRPr="000C350F">
              <w:rPr>
                <w:b/>
              </w:rPr>
              <w:t>3.0</w:t>
            </w:r>
          </w:p>
        </w:tc>
      </w:tr>
      <w:tr w:rsidR="0012750B" w:rsidRPr="000C350F" w:rsidTr="00D803EE">
        <w:tc>
          <w:tcPr>
            <w:tcW w:w="3094" w:type="dxa"/>
          </w:tcPr>
          <w:p w:rsidR="0012750B" w:rsidRPr="000C350F" w:rsidRDefault="0012750B" w:rsidP="0012750B">
            <w:pPr>
              <w:spacing w:after="60"/>
            </w:pPr>
            <w:r w:rsidRPr="000C350F">
              <w:t>Economic benefits only</w:t>
            </w:r>
          </w:p>
        </w:tc>
        <w:tc>
          <w:tcPr>
            <w:tcW w:w="2159" w:type="dxa"/>
            <w:vAlign w:val="top"/>
          </w:tcPr>
          <w:p w:rsidR="0012750B" w:rsidRPr="000C350F" w:rsidRDefault="0012750B" w:rsidP="0012750B">
            <w:pPr>
              <w:spacing w:after="60"/>
            </w:pPr>
            <w:r w:rsidRPr="000C350F">
              <w:t>0.9</w:t>
            </w:r>
          </w:p>
        </w:tc>
        <w:tc>
          <w:tcPr>
            <w:tcW w:w="2159" w:type="dxa"/>
            <w:vAlign w:val="top"/>
          </w:tcPr>
          <w:p w:rsidR="0012750B" w:rsidRPr="000C350F" w:rsidRDefault="0012750B" w:rsidP="0012750B">
            <w:pPr>
              <w:spacing w:after="60"/>
            </w:pPr>
            <w:r w:rsidRPr="000C350F">
              <w:t>1.7</w:t>
            </w:r>
          </w:p>
        </w:tc>
        <w:tc>
          <w:tcPr>
            <w:tcW w:w="2160" w:type="dxa"/>
            <w:vAlign w:val="top"/>
          </w:tcPr>
          <w:p w:rsidR="0012750B" w:rsidRPr="000C350F" w:rsidRDefault="0012750B" w:rsidP="0012750B">
            <w:pPr>
              <w:spacing w:after="60"/>
            </w:pPr>
            <w:r w:rsidRPr="000C350F">
              <w:t>1.1</w:t>
            </w:r>
          </w:p>
        </w:tc>
      </w:tr>
    </w:tbl>
    <w:p w:rsidR="0012750B" w:rsidRPr="000C350F" w:rsidRDefault="0012750B" w:rsidP="00EC28F7">
      <w:pPr>
        <w:spacing w:after="60"/>
        <w:rPr>
          <w:sz w:val="18"/>
        </w:rPr>
      </w:pPr>
      <w:r w:rsidRPr="000C350F">
        <w:rPr>
          <w:sz w:val="18"/>
        </w:rPr>
        <w:t xml:space="preserve">Note: totals may not add due to rounding. The results were derived using a real discount rate of 7%. </w:t>
      </w:r>
    </w:p>
    <w:p w:rsidR="00D14BF8" w:rsidRDefault="00D14BF8" w:rsidP="00D14BF8">
      <w:r>
        <w:t xml:space="preserve">Benefits measured in this report far exceed those found in the 2015 report. In the 2015 report, benefits estimated over for 2015-16 totalled $47.8 million in NPV terms, with a BCR of 1.6. In the current report benefits for one year total $127.6 million in NPV terms, with a BCR of 3.0. </w:t>
      </w:r>
      <w:bookmarkStart w:id="177" w:name="_Ref462840296"/>
      <w:r>
        <w:t>There are three key reasons behind significant differences between reports:</w:t>
      </w:r>
      <w:r w:rsidRPr="002644A8">
        <w:t xml:space="preserve"> </w:t>
      </w:r>
      <w:r>
        <w:t>the addition of ELNSW, the program is now well</w:t>
      </w:r>
      <w:r>
        <w:noBreakHyphen/>
        <w:t xml:space="preserve">established across NSW so that Linkers are able to assist in delivering more outcomes, and </w:t>
      </w:r>
      <w:r w:rsidRPr="002644A8">
        <w:t>the availability of more detailed and accurate outcomes.</w:t>
      </w:r>
    </w:p>
    <w:p w:rsidR="00D14BF8" w:rsidRPr="003B7DC4" w:rsidRDefault="00D14BF8" w:rsidP="00C741E7">
      <w:pPr>
        <w:pStyle w:val="Heading2"/>
        <w:tabs>
          <w:tab w:val="clear" w:pos="851"/>
        </w:tabs>
        <w:spacing w:before="360"/>
        <w:rPr>
          <w:iCs w:val="0"/>
        </w:rPr>
      </w:pPr>
      <w:bookmarkStart w:id="178" w:name="_Ref463880423"/>
      <w:bookmarkStart w:id="179" w:name="_Toc465259731"/>
      <w:bookmarkStart w:id="180" w:name="_Toc467133535"/>
      <w:r w:rsidRPr="003B7DC4">
        <w:rPr>
          <w:iCs w:val="0"/>
        </w:rPr>
        <w:t>Aboriginal participants</w:t>
      </w:r>
      <w:bookmarkEnd w:id="177"/>
      <w:bookmarkEnd w:id="178"/>
      <w:bookmarkEnd w:id="179"/>
      <w:bookmarkEnd w:id="180"/>
    </w:p>
    <w:p w:rsidR="00D14BF8" w:rsidRDefault="00D14BF8" w:rsidP="00D14BF8">
      <w:r>
        <w:t>Outcomes data for Aboriginal participants was also provided by FACS. This allowed for an estimation of economic and social benefits and a Social CBA for the Aboriginal cohort only, using the same methodology to estimate benefits.</w:t>
      </w:r>
    </w:p>
    <w:p w:rsidR="00D14BF8" w:rsidRDefault="00D14BF8" w:rsidP="00D14BF8">
      <w:r>
        <w:t>Of the 10,376 people who achieved an outcome across both ALNSW and ELNSW, 27.1% (2,808) were Aboriginal. There are 47 Aboriginal-identified ALNSW Linker positions, and 27 Aboriginal-identified ELNSW Linker positions.</w:t>
      </w:r>
    </w:p>
    <w:p w:rsidR="00D14BF8" w:rsidRDefault="00D14BF8" w:rsidP="00D14BF8">
      <w:r>
        <w:t>Of these 2,808 Aboriginal participants who achieved an outcome in 2015-16 (extrapolated from six months of data), 1,568 (56% of Aboriginal participants and 22.4% of all participants) were in ALNSW, and 1,240 (44% of Aboriginal participants and 36.7% of all participants) were in ELNSW.</w:t>
      </w:r>
    </w:p>
    <w:p w:rsidR="00D14BF8" w:rsidRDefault="00D14BF8" w:rsidP="00D14BF8">
      <w:r>
        <w:t>Program costs for ALNSW and ELNSW across all participants were estimated based on the total number of Linkers, which is the major program cost driver.</w:t>
      </w:r>
      <w:r w:rsidRPr="00524B6A">
        <w:t xml:space="preserve"> </w:t>
      </w:r>
      <w:r w:rsidRPr="00910567">
        <w:t>While data is available on Aboriginal-identified Linker positions, this does not accurately reflect the number of Linkers working with Aboriginal participants</w:t>
      </w:r>
      <w:r>
        <w:t xml:space="preserve"> as some Aboriginal participants work with non-Aboriginal Linkers, while Aboriginal Linkers assisted both Aboriginal and non-Aboriginal people with disability.</w:t>
      </w:r>
      <w:r w:rsidRPr="00524B6A">
        <w:t xml:space="preserve"> </w:t>
      </w:r>
    </w:p>
    <w:p w:rsidR="00D14BF8" w:rsidRDefault="00D14BF8" w:rsidP="00D14BF8">
      <w:r>
        <w:t xml:space="preserve">This prevented Aboriginal participant program costs being estimated in precisely the same manner as for total program participants. </w:t>
      </w:r>
    </w:p>
    <w:p w:rsidR="00D14BF8" w:rsidRDefault="00D14BF8" w:rsidP="00D14BF8">
      <w:r>
        <w:t>Costs</w:t>
      </w:r>
      <w:r w:rsidRPr="00AB256A">
        <w:t xml:space="preserve"> </w:t>
      </w:r>
      <w:r>
        <w:t>were</w:t>
      </w:r>
      <w:r w:rsidRPr="00AB256A">
        <w:t xml:space="preserve"> therefore estimated </w:t>
      </w:r>
      <w:r>
        <w:t xml:space="preserve">by applying </w:t>
      </w:r>
      <w:r w:rsidRPr="00AB256A">
        <w:t xml:space="preserve">the proportion of </w:t>
      </w:r>
      <w:r>
        <w:t xml:space="preserve">Aboriginal </w:t>
      </w:r>
      <w:r w:rsidRPr="00AB256A">
        <w:t xml:space="preserve">participants who have achieved an outcome in </w:t>
      </w:r>
      <w:r>
        <w:t>both</w:t>
      </w:r>
      <w:r w:rsidRPr="00AB256A">
        <w:t xml:space="preserve"> </w:t>
      </w:r>
      <w:r>
        <w:t>ALNSW and ELNSW to the total cost of each program</w:t>
      </w:r>
      <w:r w:rsidRPr="00524B6A">
        <w:t xml:space="preserve"> </w:t>
      </w:r>
      <w:r>
        <w:t xml:space="preserve">respectively (as detailed in Section </w:t>
      </w:r>
      <w:r>
        <w:fldChar w:fldCharType="begin"/>
      </w:r>
      <w:r>
        <w:instrText xml:space="preserve"> REF _Ref462924783 \r \h </w:instrText>
      </w:r>
      <w:r>
        <w:fldChar w:fldCharType="separate"/>
      </w:r>
      <w:r w:rsidR="00940CA3">
        <w:t>4.1</w:t>
      </w:r>
      <w:r>
        <w:fldChar w:fldCharType="end"/>
      </w:r>
      <w:r>
        <w:t>), which better reflects the resources likely to have been used in achieving outcomes for Aboriginal participants. Urbis does not consider the difference in approach on cost estimation to have had a meaningful impact on estimation of BCRs.</w:t>
      </w:r>
    </w:p>
    <w:p w:rsidR="00D14BF8" w:rsidRDefault="00D14BF8" w:rsidP="00D14BF8">
      <w:pPr>
        <w:spacing w:after="0"/>
      </w:pPr>
      <w:r>
        <w:rPr>
          <w:b/>
        </w:rPr>
        <w:t xml:space="preserve">The BCR for all Aboriginal participants in the program was 3.9. </w:t>
      </w:r>
      <w:r>
        <w:t xml:space="preserve">Detailed results are presented in Table 4-2 for Aboriginal participants in ALNSW and ELNSW and by Economic and Total outcomes. Economic benefits alone also maintain a BCR greater than one for Aboriginal participants. </w:t>
      </w:r>
    </w:p>
    <w:p w:rsidR="00D14BF8" w:rsidRDefault="00D14BF8" w:rsidP="00D14BF8">
      <w:pPr>
        <w:rPr>
          <w:rFonts w:cs="Arial"/>
        </w:rPr>
      </w:pPr>
      <w:r>
        <w:t>Results across the Aboriginal cohort differ from results across all participants. This, in part, reflects the fact that, c</w:t>
      </w:r>
      <w:r>
        <w:rPr>
          <w:rFonts w:cs="Arial"/>
        </w:rPr>
        <w:t xml:space="preserve">ompared to all participants, Aboriginal participants achieved a higher number of outcomes per </w:t>
      </w:r>
      <w:r>
        <w:rPr>
          <w:rFonts w:cs="Arial"/>
        </w:rPr>
        <w:lastRenderedPageBreak/>
        <w:t>person</w:t>
      </w:r>
      <w:r w:rsidRPr="00910567">
        <w:t xml:space="preserve"> </w:t>
      </w:r>
      <w:r>
        <w:t>(notably social, community and civic participation for ALNSW)</w:t>
      </w:r>
      <w:r>
        <w:rPr>
          <w:rFonts w:cs="Arial"/>
        </w:rPr>
        <w:t xml:space="preserve">, and the outcomes achieved tended to be of higher value (especially for employment and education related outcomes for ELNSW). </w:t>
      </w:r>
    </w:p>
    <w:p w:rsidR="00D14BF8" w:rsidRDefault="00D14BF8" w:rsidP="00D14BF8">
      <w:pPr>
        <w:rPr>
          <w:rFonts w:cs="Arial"/>
        </w:rPr>
      </w:pPr>
      <w:r>
        <w:rPr>
          <w:rFonts w:cs="Arial"/>
        </w:rPr>
        <w:t>In 2015-16, across both ALNSW and ELNSW, Aboriginal participants made up 27.1% of individuals achieving an outcome, while achieving 33.1% of all outcomes.</w:t>
      </w:r>
    </w:p>
    <w:p w:rsidR="00D14BF8" w:rsidRDefault="00D14BF8" w:rsidP="00D14BF8">
      <w:pPr>
        <w:rPr>
          <w:rFonts w:cs="Arial"/>
        </w:rPr>
      </w:pPr>
      <w:r>
        <w:rPr>
          <w:rFonts w:cs="Arial"/>
        </w:rPr>
        <w:t>For ALNSW, Aboriginal participants made up 22.4% of people who achieved an outcome</w:t>
      </w:r>
      <w:r w:rsidRPr="00910567">
        <w:rPr>
          <w:rFonts w:cs="Arial"/>
        </w:rPr>
        <w:t xml:space="preserve"> </w:t>
      </w:r>
      <w:r>
        <w:rPr>
          <w:rFonts w:cs="Arial"/>
        </w:rPr>
        <w:t xml:space="preserve">in 2015-16, but accounted for almost 30% of all ALNSW outcomes achieved. </w:t>
      </w:r>
    </w:p>
    <w:p w:rsidR="00D14BF8" w:rsidRDefault="00D14BF8" w:rsidP="00D14BF8">
      <w:pPr>
        <w:rPr>
          <w:rFonts w:cs="Arial"/>
        </w:rPr>
      </w:pPr>
      <w:r>
        <w:rPr>
          <w:rFonts w:cs="Arial"/>
        </w:rPr>
        <w:t xml:space="preserve">The same is true for ELNSW, where Aboriginal participants made up 36.7% of people who achieved an outcome, but 38.1% of all outcomes; importantly, these outcomes tended to be higher value employment and education related outcomes. </w:t>
      </w:r>
    </w:p>
    <w:p w:rsidR="00D14BF8" w:rsidRDefault="00D14BF8" w:rsidP="00D14BF8">
      <w:pPr>
        <w:pStyle w:val="Caption"/>
        <w:rPr>
          <w:sz w:val="20"/>
          <w:szCs w:val="20"/>
        </w:rPr>
      </w:pPr>
      <w:bookmarkStart w:id="181" w:name="_Ref462836155"/>
      <w:bookmarkStart w:id="182" w:name="_Toc466025154"/>
      <w:bookmarkStart w:id="183" w:name="_Toc467137557"/>
      <w:r w:rsidRPr="003B7DC4">
        <w:rPr>
          <w:sz w:val="20"/>
          <w:szCs w:val="20"/>
        </w:rPr>
        <w:t xml:space="preserve">Table </w:t>
      </w:r>
      <w:r w:rsidRPr="003B7DC4">
        <w:rPr>
          <w:sz w:val="20"/>
          <w:szCs w:val="20"/>
        </w:rPr>
        <w:fldChar w:fldCharType="begin"/>
      </w:r>
      <w:r w:rsidRPr="003B7DC4">
        <w:rPr>
          <w:sz w:val="20"/>
          <w:szCs w:val="20"/>
        </w:rPr>
        <w:instrText xml:space="preserve"> STYLEREF 1 \s </w:instrText>
      </w:r>
      <w:r w:rsidRPr="003B7DC4">
        <w:rPr>
          <w:sz w:val="20"/>
          <w:szCs w:val="20"/>
        </w:rPr>
        <w:fldChar w:fldCharType="separate"/>
      </w:r>
      <w:r w:rsidR="00770791">
        <w:rPr>
          <w:noProof/>
          <w:sz w:val="20"/>
          <w:szCs w:val="20"/>
        </w:rPr>
        <w:t>4</w:t>
      </w:r>
      <w:r w:rsidRPr="003B7DC4">
        <w:rPr>
          <w:noProof/>
          <w:sz w:val="20"/>
          <w:szCs w:val="20"/>
        </w:rPr>
        <w:fldChar w:fldCharType="end"/>
      </w:r>
      <w:r w:rsidRPr="003B7DC4">
        <w:rPr>
          <w:sz w:val="20"/>
          <w:szCs w:val="20"/>
        </w:rPr>
        <w:noBreakHyphen/>
      </w:r>
      <w:r w:rsidRPr="003B7DC4">
        <w:rPr>
          <w:sz w:val="20"/>
          <w:szCs w:val="20"/>
        </w:rPr>
        <w:fldChar w:fldCharType="begin"/>
      </w:r>
      <w:r w:rsidRPr="003B7DC4">
        <w:rPr>
          <w:sz w:val="20"/>
          <w:szCs w:val="20"/>
        </w:rPr>
        <w:instrText xml:space="preserve"> SEQ Table \* ARABIC \s 1 </w:instrText>
      </w:r>
      <w:r w:rsidRPr="003B7DC4">
        <w:rPr>
          <w:sz w:val="20"/>
          <w:szCs w:val="20"/>
        </w:rPr>
        <w:fldChar w:fldCharType="separate"/>
      </w:r>
      <w:r w:rsidR="00770791">
        <w:rPr>
          <w:noProof/>
          <w:sz w:val="20"/>
          <w:szCs w:val="20"/>
        </w:rPr>
        <w:t>2</w:t>
      </w:r>
      <w:r w:rsidRPr="003B7DC4">
        <w:rPr>
          <w:noProof/>
          <w:sz w:val="20"/>
          <w:szCs w:val="20"/>
        </w:rPr>
        <w:fldChar w:fldCharType="end"/>
      </w:r>
      <w:bookmarkEnd w:id="181"/>
      <w:r w:rsidRPr="003B7DC4">
        <w:rPr>
          <w:sz w:val="20"/>
          <w:szCs w:val="20"/>
        </w:rPr>
        <w:t xml:space="preserve"> – Aboriginal CBA results</w:t>
      </w:r>
      <w:bookmarkEnd w:id="182"/>
      <w:bookmarkEnd w:id="183"/>
      <w:r w:rsidRPr="003B7DC4">
        <w:rPr>
          <w:sz w:val="20"/>
          <w:szCs w:val="20"/>
        </w:rPr>
        <w:t xml:space="preserve"> </w:t>
      </w:r>
      <w:r w:rsidR="00D572B6" w:rsidRPr="00D572B6">
        <w:rPr>
          <w:sz w:val="20"/>
          <w:szCs w:val="20"/>
        </w:rPr>
        <w:t>(NPV, $ million)</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social cost benefit analysis for Aboriginal participants by ALNSW and ELNSW."/>
      </w:tblPr>
      <w:tblGrid>
        <w:gridCol w:w="3096"/>
        <w:gridCol w:w="2159"/>
        <w:gridCol w:w="2159"/>
        <w:gridCol w:w="2158"/>
      </w:tblGrid>
      <w:tr w:rsidR="00F976CF" w:rsidRPr="00F976CF" w:rsidTr="000F2E6C">
        <w:trPr>
          <w:cnfStyle w:val="100000000000" w:firstRow="1" w:lastRow="0" w:firstColumn="0" w:lastColumn="0" w:oddVBand="0" w:evenVBand="0" w:oddHBand="0" w:evenHBand="0" w:firstRowFirstColumn="0" w:firstRowLastColumn="0" w:lastRowFirstColumn="0" w:lastRowLastColumn="0"/>
          <w:tblHeader/>
        </w:trPr>
        <w:tc>
          <w:tcPr>
            <w:tcW w:w="30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14BF8" w:rsidRPr="00F976CF" w:rsidRDefault="00D572B6" w:rsidP="00644E3B">
            <w:pPr>
              <w:spacing w:after="60"/>
              <w:rPr>
                <w:color w:val="auto"/>
              </w:rPr>
            </w:pPr>
            <w:bookmarkStart w:id="184" w:name="ColumnTitle_Table5_2a"/>
            <w:bookmarkStart w:id="185" w:name="ColumnTitle_Table5_2a_header" w:colFirst="0" w:colLast="4"/>
            <w:bookmarkEnd w:id="184"/>
            <w:r w:rsidRPr="00D572B6">
              <w:rPr>
                <w:b/>
                <w:color w:val="auto"/>
              </w:rPr>
              <w:t>Item</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14BF8" w:rsidRPr="00F976CF" w:rsidRDefault="00D14BF8" w:rsidP="00644E3B">
            <w:pPr>
              <w:spacing w:after="60"/>
              <w:rPr>
                <w:b/>
                <w:color w:val="auto"/>
              </w:rPr>
            </w:pPr>
            <w:r w:rsidRPr="00F976CF">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14BF8" w:rsidRPr="00F976CF" w:rsidRDefault="00D14BF8" w:rsidP="00644E3B">
            <w:pPr>
              <w:spacing w:after="60"/>
              <w:rPr>
                <w:b/>
                <w:color w:val="auto"/>
              </w:rPr>
            </w:pPr>
            <w:r w:rsidRPr="00F976CF">
              <w:rPr>
                <w:b/>
                <w:color w:val="auto"/>
              </w:rPr>
              <w:t>ELNSW</w:t>
            </w:r>
          </w:p>
        </w:tc>
        <w:tc>
          <w:tcPr>
            <w:tcW w:w="21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14BF8" w:rsidRPr="00F976CF" w:rsidRDefault="00D14BF8" w:rsidP="00644E3B">
            <w:pPr>
              <w:spacing w:after="60"/>
              <w:rPr>
                <w:b/>
                <w:color w:val="auto"/>
              </w:rPr>
            </w:pPr>
            <w:r w:rsidRPr="00F976CF">
              <w:rPr>
                <w:b/>
                <w:color w:val="auto"/>
              </w:rPr>
              <w:t>Total</w:t>
            </w:r>
          </w:p>
        </w:tc>
      </w:tr>
      <w:bookmarkEnd w:id="185"/>
      <w:tr w:rsidR="00D14BF8" w:rsidTr="00D803EE">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D14BF8" w:rsidRDefault="00D14BF8" w:rsidP="00644E3B">
            <w:pPr>
              <w:spacing w:after="60"/>
            </w:pPr>
            <w:r>
              <w:t xml:space="preserve">Economic benefits </w:t>
            </w:r>
          </w:p>
        </w:tc>
        <w:tc>
          <w:tcPr>
            <w:tcW w:w="2159" w:type="dxa"/>
            <w:shd w:val="clear" w:color="auto" w:fill="auto"/>
            <w:vAlign w:val="top"/>
          </w:tcPr>
          <w:p w:rsidR="00D14BF8" w:rsidRDefault="00D14BF8" w:rsidP="00644E3B">
            <w:pPr>
              <w:spacing w:after="60"/>
            </w:pPr>
            <w:r>
              <w:t>7.98</w:t>
            </w:r>
          </w:p>
        </w:tc>
        <w:tc>
          <w:tcPr>
            <w:tcW w:w="2159" w:type="dxa"/>
            <w:shd w:val="clear" w:color="auto" w:fill="auto"/>
            <w:vAlign w:val="top"/>
          </w:tcPr>
          <w:p w:rsidR="00D14BF8" w:rsidRDefault="00D14BF8" w:rsidP="00644E3B">
            <w:pPr>
              <w:spacing w:after="60"/>
            </w:pPr>
            <w:r>
              <w:t>7.00</w:t>
            </w:r>
          </w:p>
        </w:tc>
        <w:tc>
          <w:tcPr>
            <w:tcW w:w="2158" w:type="dxa"/>
            <w:shd w:val="clear" w:color="auto" w:fill="auto"/>
            <w:vAlign w:val="top"/>
          </w:tcPr>
          <w:p w:rsidR="00D14BF8" w:rsidRDefault="00D14BF8" w:rsidP="00644E3B">
            <w:pPr>
              <w:spacing w:after="60"/>
            </w:pPr>
            <w:r>
              <w:t>14.98</w:t>
            </w:r>
          </w:p>
        </w:tc>
      </w:tr>
      <w:tr w:rsidR="00D14BF8" w:rsidTr="00D803EE">
        <w:tc>
          <w:tcPr>
            <w:tcW w:w="3096" w:type="dxa"/>
          </w:tcPr>
          <w:p w:rsidR="00D14BF8" w:rsidRDefault="00D14BF8" w:rsidP="00644E3B">
            <w:pPr>
              <w:spacing w:after="60"/>
            </w:pPr>
            <w:r>
              <w:t xml:space="preserve">Social benefits </w:t>
            </w:r>
          </w:p>
        </w:tc>
        <w:tc>
          <w:tcPr>
            <w:tcW w:w="2159" w:type="dxa"/>
            <w:vAlign w:val="top"/>
          </w:tcPr>
          <w:p w:rsidR="00D14BF8" w:rsidRDefault="00D14BF8" w:rsidP="00644E3B">
            <w:pPr>
              <w:spacing w:after="60"/>
            </w:pPr>
            <w:r>
              <w:t>14.41</w:t>
            </w:r>
          </w:p>
        </w:tc>
        <w:tc>
          <w:tcPr>
            <w:tcW w:w="2159" w:type="dxa"/>
            <w:vAlign w:val="top"/>
          </w:tcPr>
          <w:p w:rsidR="00D14BF8" w:rsidRDefault="00D14BF8" w:rsidP="00644E3B">
            <w:pPr>
              <w:spacing w:after="60"/>
            </w:pPr>
            <w:r>
              <w:t>12.77</w:t>
            </w:r>
          </w:p>
        </w:tc>
        <w:tc>
          <w:tcPr>
            <w:tcW w:w="2158" w:type="dxa"/>
            <w:vAlign w:val="top"/>
          </w:tcPr>
          <w:p w:rsidR="00D14BF8" w:rsidRDefault="00D14BF8" w:rsidP="00644E3B">
            <w:pPr>
              <w:spacing w:after="60"/>
            </w:pPr>
            <w:r>
              <w:t>21.17</w:t>
            </w:r>
          </w:p>
        </w:tc>
      </w:tr>
      <w:tr w:rsidR="00D14BF8" w:rsidTr="00D803EE">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D14BF8" w:rsidRPr="009900EB" w:rsidRDefault="00D14BF8" w:rsidP="00644E3B">
            <w:pPr>
              <w:spacing w:after="60"/>
              <w:rPr>
                <w:b/>
              </w:rPr>
            </w:pPr>
            <w:r w:rsidRPr="009900EB">
              <w:rPr>
                <w:b/>
              </w:rPr>
              <w:t xml:space="preserve">Total benefits </w:t>
            </w:r>
          </w:p>
        </w:tc>
        <w:tc>
          <w:tcPr>
            <w:tcW w:w="2159" w:type="dxa"/>
            <w:shd w:val="clear" w:color="auto" w:fill="auto"/>
            <w:vAlign w:val="top"/>
          </w:tcPr>
          <w:p w:rsidR="00D14BF8" w:rsidRPr="009900EB" w:rsidRDefault="00D14BF8" w:rsidP="00644E3B">
            <w:pPr>
              <w:spacing w:after="60"/>
              <w:rPr>
                <w:b/>
              </w:rPr>
            </w:pPr>
            <w:r>
              <w:rPr>
                <w:b/>
              </w:rPr>
              <w:t>22.39</w:t>
            </w:r>
          </w:p>
        </w:tc>
        <w:tc>
          <w:tcPr>
            <w:tcW w:w="2159" w:type="dxa"/>
            <w:shd w:val="clear" w:color="auto" w:fill="auto"/>
            <w:vAlign w:val="top"/>
          </w:tcPr>
          <w:p w:rsidR="00D14BF8" w:rsidRPr="009900EB" w:rsidRDefault="00D14BF8" w:rsidP="00644E3B">
            <w:pPr>
              <w:spacing w:after="60"/>
              <w:rPr>
                <w:b/>
              </w:rPr>
            </w:pPr>
            <w:r>
              <w:rPr>
                <w:b/>
              </w:rPr>
              <w:t>19.76</w:t>
            </w:r>
          </w:p>
        </w:tc>
        <w:tc>
          <w:tcPr>
            <w:tcW w:w="2158" w:type="dxa"/>
            <w:shd w:val="clear" w:color="auto" w:fill="auto"/>
            <w:vAlign w:val="top"/>
          </w:tcPr>
          <w:p w:rsidR="00D14BF8" w:rsidRPr="009900EB" w:rsidRDefault="00D14BF8" w:rsidP="00644E3B">
            <w:pPr>
              <w:spacing w:after="60"/>
              <w:rPr>
                <w:b/>
              </w:rPr>
            </w:pPr>
            <w:r>
              <w:rPr>
                <w:b/>
              </w:rPr>
              <w:t>42.15</w:t>
            </w:r>
          </w:p>
        </w:tc>
      </w:tr>
      <w:tr w:rsidR="00D14BF8" w:rsidTr="00D803EE">
        <w:tc>
          <w:tcPr>
            <w:tcW w:w="3096" w:type="dxa"/>
          </w:tcPr>
          <w:p w:rsidR="00D14BF8" w:rsidRDefault="00D14BF8" w:rsidP="00644E3B">
            <w:pPr>
              <w:spacing w:after="60"/>
            </w:pPr>
            <w:r>
              <w:t xml:space="preserve">Total costs </w:t>
            </w:r>
          </w:p>
        </w:tc>
        <w:tc>
          <w:tcPr>
            <w:tcW w:w="2159" w:type="dxa"/>
            <w:vAlign w:val="top"/>
          </w:tcPr>
          <w:p w:rsidR="00D14BF8" w:rsidRDefault="00D14BF8" w:rsidP="00644E3B">
            <w:pPr>
              <w:spacing w:after="60"/>
            </w:pPr>
            <w:r>
              <w:t>7.35</w:t>
            </w:r>
          </w:p>
        </w:tc>
        <w:tc>
          <w:tcPr>
            <w:tcW w:w="2159" w:type="dxa"/>
            <w:vAlign w:val="top"/>
          </w:tcPr>
          <w:p w:rsidR="00D14BF8" w:rsidRDefault="00D14BF8" w:rsidP="00644E3B">
            <w:pPr>
              <w:spacing w:after="60"/>
            </w:pPr>
            <w:r>
              <w:t>3.54</w:t>
            </w:r>
          </w:p>
        </w:tc>
        <w:tc>
          <w:tcPr>
            <w:tcW w:w="2158" w:type="dxa"/>
            <w:vAlign w:val="top"/>
          </w:tcPr>
          <w:p w:rsidR="00D14BF8" w:rsidRDefault="00D14BF8" w:rsidP="00644E3B">
            <w:pPr>
              <w:spacing w:after="60"/>
            </w:pPr>
            <w:r>
              <w:t>10.89</w:t>
            </w:r>
          </w:p>
        </w:tc>
      </w:tr>
      <w:tr w:rsidR="00D14BF8" w:rsidRPr="00053784" w:rsidTr="00D803EE">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D14BF8" w:rsidRPr="00053784" w:rsidRDefault="00D14BF8" w:rsidP="00644E3B">
            <w:pPr>
              <w:spacing w:after="60"/>
              <w:rPr>
                <w:b/>
              </w:rPr>
            </w:pPr>
            <w:r w:rsidRPr="00053784">
              <w:rPr>
                <w:b/>
              </w:rPr>
              <w:t>Net benefit (total)</w:t>
            </w:r>
          </w:p>
        </w:tc>
        <w:tc>
          <w:tcPr>
            <w:tcW w:w="2159" w:type="dxa"/>
            <w:shd w:val="clear" w:color="auto" w:fill="auto"/>
            <w:vAlign w:val="top"/>
          </w:tcPr>
          <w:p w:rsidR="00D14BF8" w:rsidRPr="00053784" w:rsidRDefault="00D14BF8" w:rsidP="00644E3B">
            <w:pPr>
              <w:spacing w:after="60"/>
              <w:rPr>
                <w:b/>
              </w:rPr>
            </w:pPr>
            <w:r>
              <w:rPr>
                <w:b/>
              </w:rPr>
              <w:t>15.04</w:t>
            </w:r>
          </w:p>
        </w:tc>
        <w:tc>
          <w:tcPr>
            <w:tcW w:w="2159" w:type="dxa"/>
            <w:shd w:val="clear" w:color="auto" w:fill="auto"/>
            <w:vAlign w:val="top"/>
          </w:tcPr>
          <w:p w:rsidR="00D14BF8" w:rsidRPr="00053784" w:rsidRDefault="00D14BF8" w:rsidP="00644E3B">
            <w:pPr>
              <w:spacing w:after="60"/>
              <w:rPr>
                <w:b/>
              </w:rPr>
            </w:pPr>
            <w:r>
              <w:rPr>
                <w:b/>
              </w:rPr>
              <w:t>16.22</w:t>
            </w:r>
          </w:p>
        </w:tc>
        <w:tc>
          <w:tcPr>
            <w:tcW w:w="2158" w:type="dxa"/>
            <w:shd w:val="clear" w:color="auto" w:fill="auto"/>
            <w:vAlign w:val="top"/>
          </w:tcPr>
          <w:p w:rsidR="00D14BF8" w:rsidRPr="00053784" w:rsidRDefault="00D14BF8" w:rsidP="00644E3B">
            <w:pPr>
              <w:spacing w:after="60"/>
              <w:rPr>
                <w:b/>
              </w:rPr>
            </w:pPr>
            <w:r>
              <w:rPr>
                <w:b/>
              </w:rPr>
              <w:t>31.26</w:t>
            </w:r>
          </w:p>
        </w:tc>
      </w:tr>
    </w:tbl>
    <w:p w:rsidR="00644E3B" w:rsidRPr="0069578E" w:rsidRDefault="00644E3B"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Details of the benefit-cost ratio for Aboriginal participants in ALNSW and ELNSW."/>
      </w:tblPr>
      <w:tblGrid>
        <w:gridCol w:w="3096"/>
        <w:gridCol w:w="2159"/>
        <w:gridCol w:w="2159"/>
        <w:gridCol w:w="2158"/>
      </w:tblGrid>
      <w:tr w:rsidR="00644E3B" w:rsidRPr="00F976CF" w:rsidTr="000F2E6C">
        <w:trPr>
          <w:cnfStyle w:val="100000000000" w:firstRow="1" w:lastRow="0" w:firstColumn="0" w:lastColumn="0" w:oddVBand="0" w:evenVBand="0" w:oddHBand="0" w:evenHBand="0" w:firstRowFirstColumn="0" w:firstRowLastColumn="0" w:lastRowFirstColumn="0" w:lastRowLastColumn="0"/>
          <w:tblHeader/>
        </w:trPr>
        <w:tc>
          <w:tcPr>
            <w:tcW w:w="30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644E3B" w:rsidRDefault="00644E3B" w:rsidP="00D803EE">
            <w:pPr>
              <w:spacing w:after="60"/>
              <w:rPr>
                <w:b/>
                <w:color w:val="auto"/>
              </w:rPr>
            </w:pPr>
            <w:bookmarkStart w:id="186" w:name="ColumnTitle_Table5_2"/>
            <w:bookmarkStart w:id="187" w:name="ColumnTitle_Table5_2b"/>
            <w:bookmarkStart w:id="188" w:name="ColumnTitle_Table5_2b_header"/>
            <w:bookmarkEnd w:id="186"/>
            <w:bookmarkEnd w:id="187"/>
            <w:r w:rsidRPr="00644E3B">
              <w:rPr>
                <w:b/>
                <w:color w:val="auto"/>
              </w:rPr>
              <w:t>BCR</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644E3B" w:rsidRPr="00F976CF" w:rsidRDefault="00644E3B" w:rsidP="00D803EE">
            <w:pPr>
              <w:spacing w:after="60"/>
              <w:rPr>
                <w:b/>
                <w:color w:val="auto"/>
              </w:rPr>
            </w:pPr>
            <w:r w:rsidRPr="00F976CF">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644E3B" w:rsidRPr="00F976CF" w:rsidRDefault="00644E3B" w:rsidP="00D803EE">
            <w:pPr>
              <w:spacing w:after="60"/>
              <w:rPr>
                <w:b/>
                <w:color w:val="auto"/>
              </w:rPr>
            </w:pPr>
            <w:r w:rsidRPr="00F976CF">
              <w:rPr>
                <w:b/>
                <w:color w:val="auto"/>
              </w:rPr>
              <w:t>ELNSW</w:t>
            </w:r>
          </w:p>
        </w:tc>
        <w:tc>
          <w:tcPr>
            <w:tcW w:w="21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644E3B" w:rsidRPr="00F976CF" w:rsidRDefault="00644E3B" w:rsidP="00D803EE">
            <w:pPr>
              <w:spacing w:after="60"/>
              <w:rPr>
                <w:b/>
                <w:color w:val="auto"/>
              </w:rPr>
            </w:pPr>
            <w:r w:rsidRPr="00F976CF">
              <w:rPr>
                <w:b/>
                <w:color w:val="auto"/>
              </w:rPr>
              <w:t>Total</w:t>
            </w:r>
          </w:p>
        </w:tc>
      </w:tr>
      <w:bookmarkEnd w:id="188"/>
      <w:tr w:rsidR="00644E3B" w:rsidTr="00D803EE">
        <w:trPr>
          <w:cnfStyle w:val="000000100000" w:firstRow="0" w:lastRow="0" w:firstColumn="0" w:lastColumn="0" w:oddVBand="0" w:evenVBand="0" w:oddHBand="1" w:evenHBand="0" w:firstRowFirstColumn="0" w:firstRowLastColumn="0" w:lastRowFirstColumn="0" w:lastRowLastColumn="0"/>
        </w:trPr>
        <w:tc>
          <w:tcPr>
            <w:tcW w:w="3096" w:type="dxa"/>
            <w:shd w:val="clear" w:color="auto" w:fill="auto"/>
          </w:tcPr>
          <w:p w:rsidR="00644E3B" w:rsidRPr="00487483" w:rsidRDefault="00644E3B" w:rsidP="00D803EE">
            <w:pPr>
              <w:spacing w:after="60"/>
              <w:rPr>
                <w:b/>
              </w:rPr>
            </w:pPr>
            <w:r>
              <w:rPr>
                <w:b/>
              </w:rPr>
              <w:t xml:space="preserve">Total </w:t>
            </w:r>
            <w:r w:rsidRPr="00487483">
              <w:rPr>
                <w:b/>
              </w:rPr>
              <w:t>benefits</w:t>
            </w:r>
          </w:p>
        </w:tc>
        <w:tc>
          <w:tcPr>
            <w:tcW w:w="2159" w:type="dxa"/>
            <w:shd w:val="clear" w:color="auto" w:fill="auto"/>
            <w:vAlign w:val="top"/>
          </w:tcPr>
          <w:p w:rsidR="00644E3B" w:rsidRPr="00487483" w:rsidRDefault="00644E3B" w:rsidP="00D803EE">
            <w:pPr>
              <w:spacing w:after="60"/>
              <w:rPr>
                <w:b/>
              </w:rPr>
            </w:pPr>
            <w:r>
              <w:rPr>
                <w:b/>
              </w:rPr>
              <w:t>3.0</w:t>
            </w:r>
          </w:p>
        </w:tc>
        <w:tc>
          <w:tcPr>
            <w:tcW w:w="2159" w:type="dxa"/>
            <w:shd w:val="clear" w:color="auto" w:fill="auto"/>
            <w:vAlign w:val="top"/>
          </w:tcPr>
          <w:p w:rsidR="00644E3B" w:rsidRPr="00487483" w:rsidRDefault="00644E3B" w:rsidP="00D803EE">
            <w:pPr>
              <w:spacing w:after="60"/>
              <w:rPr>
                <w:b/>
              </w:rPr>
            </w:pPr>
            <w:r>
              <w:rPr>
                <w:b/>
              </w:rPr>
              <w:t>5.6</w:t>
            </w:r>
          </w:p>
        </w:tc>
        <w:tc>
          <w:tcPr>
            <w:tcW w:w="2158" w:type="dxa"/>
            <w:shd w:val="clear" w:color="auto" w:fill="auto"/>
            <w:vAlign w:val="top"/>
          </w:tcPr>
          <w:p w:rsidR="00644E3B" w:rsidRPr="00487483" w:rsidRDefault="00644E3B" w:rsidP="00D803EE">
            <w:pPr>
              <w:spacing w:after="60"/>
              <w:rPr>
                <w:b/>
              </w:rPr>
            </w:pPr>
            <w:r>
              <w:rPr>
                <w:b/>
              </w:rPr>
              <w:t>3.9</w:t>
            </w:r>
          </w:p>
        </w:tc>
      </w:tr>
      <w:tr w:rsidR="00644E3B" w:rsidTr="00D803EE">
        <w:tc>
          <w:tcPr>
            <w:tcW w:w="3096" w:type="dxa"/>
          </w:tcPr>
          <w:p w:rsidR="00644E3B" w:rsidRDefault="00644E3B" w:rsidP="00D803EE">
            <w:pPr>
              <w:spacing w:after="60"/>
            </w:pPr>
            <w:r>
              <w:t>Economic benefits only</w:t>
            </w:r>
          </w:p>
        </w:tc>
        <w:tc>
          <w:tcPr>
            <w:tcW w:w="2159" w:type="dxa"/>
            <w:vAlign w:val="top"/>
          </w:tcPr>
          <w:p w:rsidR="00644E3B" w:rsidRDefault="00644E3B" w:rsidP="00D803EE">
            <w:pPr>
              <w:spacing w:after="60"/>
            </w:pPr>
            <w:r>
              <w:t>1.1</w:t>
            </w:r>
          </w:p>
        </w:tc>
        <w:tc>
          <w:tcPr>
            <w:tcW w:w="2159" w:type="dxa"/>
            <w:vAlign w:val="top"/>
          </w:tcPr>
          <w:p w:rsidR="00644E3B" w:rsidRDefault="00644E3B" w:rsidP="00D803EE">
            <w:pPr>
              <w:spacing w:after="60"/>
            </w:pPr>
            <w:r>
              <w:t>2.0</w:t>
            </w:r>
          </w:p>
        </w:tc>
        <w:tc>
          <w:tcPr>
            <w:tcW w:w="2158" w:type="dxa"/>
            <w:vAlign w:val="top"/>
          </w:tcPr>
          <w:p w:rsidR="00644E3B" w:rsidRDefault="00644E3B" w:rsidP="00D803EE">
            <w:pPr>
              <w:spacing w:after="60"/>
            </w:pPr>
            <w:r>
              <w:t>1.4</w:t>
            </w:r>
          </w:p>
        </w:tc>
      </w:tr>
    </w:tbl>
    <w:p w:rsidR="00D14BF8" w:rsidRPr="00EC28F7" w:rsidRDefault="00D14BF8" w:rsidP="00D14BF8">
      <w:pPr>
        <w:rPr>
          <w:sz w:val="18"/>
        </w:rPr>
      </w:pPr>
      <w:r w:rsidRPr="00EC28F7">
        <w:rPr>
          <w:sz w:val="18"/>
        </w:rPr>
        <w:t>Note: totals may not add due to rounding</w:t>
      </w:r>
    </w:p>
    <w:p w:rsidR="00D14BF8" w:rsidRPr="003B7DC4" w:rsidRDefault="00D14BF8" w:rsidP="00C741E7">
      <w:pPr>
        <w:pStyle w:val="Heading2"/>
        <w:tabs>
          <w:tab w:val="clear" w:pos="851"/>
        </w:tabs>
        <w:spacing w:before="360"/>
        <w:rPr>
          <w:iCs w:val="0"/>
        </w:rPr>
      </w:pPr>
      <w:bookmarkStart w:id="189" w:name="_Toc465259732"/>
      <w:bookmarkStart w:id="190" w:name="_Toc467133536"/>
      <w:r w:rsidRPr="003B7DC4">
        <w:rPr>
          <w:iCs w:val="0"/>
        </w:rPr>
        <w:t>Conclusion</w:t>
      </w:r>
      <w:bookmarkEnd w:id="189"/>
      <w:bookmarkEnd w:id="190"/>
    </w:p>
    <w:p w:rsidR="00D14BF8" w:rsidRDefault="00D14BF8" w:rsidP="00D14BF8">
      <w:r>
        <w:t>The results of the Social CBA analysis suggest that ALNSW and ELNSW deliver significant economic and social benefits. The program appears to have a particularly positive impact for Aboriginal participants.</w:t>
      </w:r>
    </w:p>
    <w:p w:rsidR="00D14BF8" w:rsidRDefault="00D14BF8" w:rsidP="00D14BF8">
      <w:r>
        <w:t xml:space="preserve">Importantly, the results presented </w:t>
      </w:r>
      <w:r w:rsidR="00963F4C">
        <w:t>previously</w:t>
      </w:r>
      <w:r>
        <w:t xml:space="preserve"> are likely to underestimate the full extent of benefits of the programs for two key reasons. </w:t>
      </w:r>
    </w:p>
    <w:p w:rsidR="00D14BF8" w:rsidRPr="001A21A3" w:rsidRDefault="00D14BF8" w:rsidP="00D14BF8">
      <w:r>
        <w:t>Firstly, community benefits have not been quantified as part of the analysis. An important aspect of Ability Links has always been its impact on communities as a whole, as well as those living with disability. Over time, and with additional research resources, it may be possible to better understand and quantify these benefits.</w:t>
      </w:r>
    </w:p>
    <w:p w:rsidR="00D14BF8" w:rsidRDefault="00D14BF8" w:rsidP="00D14BF8">
      <w:r>
        <w:t xml:space="preserve">Secondly, not all outcomes have been able to be robustly quantified and so these have been discussed in a purely qualitative manner. </w:t>
      </w:r>
    </w:p>
    <w:p w:rsidR="00D14BF8" w:rsidRDefault="00D14BF8" w:rsidP="00D14BF8">
      <w:r>
        <w:t xml:space="preserve">As anticipated in Urbis’ 2015 study, the roll out of the program and increased experience of Linkers has seen the number and nature of outcomes achieved increase significantly, as well as the ability to report these outcomes in more detail. </w:t>
      </w:r>
    </w:p>
    <w:p w:rsidR="003615E3" w:rsidRPr="003B7DC4" w:rsidRDefault="003615E3" w:rsidP="00734888">
      <w:pPr>
        <w:pStyle w:val="Heading1"/>
        <w:numPr>
          <w:ilvl w:val="0"/>
          <w:numId w:val="0"/>
        </w:numPr>
        <w:ind w:left="851" w:hanging="851"/>
      </w:pPr>
      <w:bookmarkStart w:id="191" w:name="_Toc358713809"/>
      <w:bookmarkStart w:id="192" w:name="_Toc358727475"/>
      <w:bookmarkStart w:id="193" w:name="_Toc358727501"/>
      <w:bookmarkStart w:id="194" w:name="_Toc358727505"/>
      <w:bookmarkStart w:id="195" w:name="_Toc358727509"/>
      <w:bookmarkStart w:id="196" w:name="_Toc358728326"/>
      <w:bookmarkStart w:id="197" w:name="_Toc467133537"/>
      <w:bookmarkStart w:id="198" w:name="_Toc233631079"/>
      <w:bookmarkStart w:id="199" w:name="_Toc233469926"/>
      <w:bookmarkStart w:id="200" w:name="_Toc233469905"/>
      <w:bookmarkStart w:id="201" w:name="_Toc179770742"/>
      <w:bookmarkStart w:id="202" w:name="_Toc179714671"/>
      <w:bookmarkStart w:id="203" w:name="_Toc175506444"/>
      <w:bookmarkStart w:id="204" w:name="_Toc175505209"/>
      <w:bookmarkStart w:id="205" w:name="_Toc175500687"/>
      <w:bookmarkStart w:id="206" w:name="_Toc172973678"/>
      <w:bookmarkStart w:id="207" w:name="_Toc172973548"/>
      <w:bookmarkStart w:id="208" w:name="_Toc172973473"/>
      <w:bookmarkStart w:id="209" w:name="_Toc172973461"/>
      <w:bookmarkStart w:id="210" w:name="_Toc172973455"/>
      <w:bookmarkStart w:id="211" w:name="_Toc172973372"/>
      <w:bookmarkStart w:id="212" w:name="_Toc172973345"/>
      <w:bookmarkStart w:id="213" w:name="_Toc172973242"/>
      <w:bookmarkStart w:id="214" w:name="_Toc172972892"/>
      <w:bookmarkStart w:id="215" w:name="_Toc170621580"/>
      <w:bookmarkStart w:id="216" w:name="_Toc170620356"/>
      <w:bookmarkStart w:id="217" w:name="_Toc290632524"/>
      <w:bookmarkStart w:id="218" w:name="_Toc290633019"/>
      <w:bookmarkStart w:id="219" w:name="_Toc291154167"/>
      <w:bookmarkStart w:id="220" w:name="_Toc291154224"/>
      <w:bookmarkStart w:id="221" w:name="_Toc291154286"/>
      <w:bookmarkStart w:id="222" w:name="_Toc291154317"/>
      <w:bookmarkStart w:id="223" w:name="appendix_title"/>
      <w:bookmarkEnd w:id="114"/>
      <w:bookmarkEnd w:id="21"/>
      <w:bookmarkEnd w:id="69"/>
      <w:bookmarkEnd w:id="70"/>
      <w:r w:rsidRPr="003B7DC4">
        <w:lastRenderedPageBreak/>
        <w:t>Disclaimer</w:t>
      </w:r>
      <w:bookmarkEnd w:id="191"/>
      <w:bookmarkEnd w:id="192"/>
      <w:bookmarkEnd w:id="193"/>
      <w:bookmarkEnd w:id="194"/>
      <w:bookmarkEnd w:id="195"/>
      <w:bookmarkEnd w:id="196"/>
      <w:bookmarkEnd w:id="197"/>
    </w:p>
    <w:p w:rsidR="00C66390" w:rsidRPr="00BC20D6" w:rsidRDefault="00C66390" w:rsidP="00C66390">
      <w:pPr>
        <w:jc w:val="both"/>
      </w:pPr>
      <w:bookmarkStart w:id="224" w:name="UrbisLiability"/>
      <w:r w:rsidRPr="00BC20D6">
        <w:t>This report is dated</w:t>
      </w:r>
      <w:r>
        <w:t xml:space="preserve"> 30 September 2016 </w:t>
      </w:r>
      <w:r w:rsidRPr="00BC20D6">
        <w:t xml:space="preserve">and incorporates information and events up to that date only and excludes any information arising, or event occurring, after that date which may affect the validity of </w:t>
      </w:r>
      <w:r w:rsidRPr="00BC20D6">
        <w:fldChar w:fldCharType="begin"/>
      </w:r>
      <w:r w:rsidRPr="00BC20D6">
        <w:instrText xml:space="preserve"> REF UrbisCompany \h </w:instrText>
      </w:r>
      <w:r>
        <w:instrText xml:space="preserve"> \* MERGEFORMAT </w:instrText>
      </w:r>
      <w:r w:rsidRPr="00BC20D6">
        <w:fldChar w:fldCharType="separate"/>
      </w:r>
      <w:r>
        <w:t xml:space="preserve">Urbis Pty </w:t>
      </w:r>
      <w:proofErr w:type="spellStart"/>
      <w:r>
        <w:t>Ltd</w:t>
      </w:r>
      <w:r w:rsidRPr="00BC20D6">
        <w:fldChar w:fldCharType="end"/>
      </w:r>
      <w:r w:rsidRPr="00BC20D6">
        <w:t>’s</w:t>
      </w:r>
      <w:proofErr w:type="spellEnd"/>
      <w:r w:rsidRPr="00BC20D6">
        <w:t xml:space="preserve"> (</w:t>
      </w:r>
      <w:r w:rsidRPr="00BC20D6">
        <w:rPr>
          <w:b/>
        </w:rPr>
        <w:t>Urbis</w:t>
      </w:r>
      <w:r w:rsidRPr="00BC20D6">
        <w:t xml:space="preserve">) opinion in this report. </w:t>
      </w:r>
      <w:bookmarkStart w:id="225" w:name="prop_econ1"/>
      <w:r w:rsidRPr="00882C14">
        <w:t>Urbis is under no obligation in any circumstance to update this report for events occurring after the date of this report.</w:t>
      </w:r>
      <w:bookmarkEnd w:id="225"/>
      <w:r w:rsidRPr="00BC20D6">
        <w:t xml:space="preserve"> Urbis prepared this report on the </w:t>
      </w:r>
      <w:proofErr w:type="gramStart"/>
      <w:r w:rsidRPr="00BC20D6">
        <w:t>instructions,</w:t>
      </w:r>
      <w:proofErr w:type="gramEnd"/>
      <w:r w:rsidRPr="00BC20D6">
        <w:t xml:space="preserve"> and for the benefit only, of</w:t>
      </w:r>
      <w:r>
        <w:t xml:space="preserve"> </w:t>
      </w:r>
      <w:fldSimple w:instr=" DocVariable &quot;ReportFor&quot; ">
        <w:r>
          <w:t>NSW Department of Family and Community Services</w:t>
        </w:r>
      </w:fldSimple>
      <w:r w:rsidRPr="00BC20D6">
        <w:t xml:space="preserve"> (</w:t>
      </w:r>
      <w:r w:rsidRPr="00BC20D6">
        <w:rPr>
          <w:b/>
        </w:rPr>
        <w:t>Instructing Party</w:t>
      </w:r>
      <w:r w:rsidRPr="00BC20D6">
        <w:t xml:space="preserve">) for the purpose of </w:t>
      </w:r>
      <w:fldSimple w:instr=" DocVariable &quot;ReportDisclaimer&quot; ">
        <w:r>
          <w:t>Social Cost Benefit Analysis</w:t>
        </w:r>
      </w:fldSimple>
      <w:r w:rsidRPr="00BC20D6">
        <w:t xml:space="preserve"> (</w:t>
      </w:r>
      <w:r w:rsidRPr="00BC20D6">
        <w:rPr>
          <w:b/>
        </w:rPr>
        <w:t>Purpose</w:t>
      </w:r>
      <w:r w:rsidRPr="00BC20D6">
        <w:t>) and not for any other purpose or use. To the extent permitted by applicable law, Urbis expressly disclaims all liability, whether direct or indirect, to the Instructing Party which relies or purports to rely on this report for any purpose other than the Purpose, and to any other person which relies or purports to rely on this report for any purpose whatsoever (including the Purpose).</w:t>
      </w:r>
    </w:p>
    <w:p w:rsidR="00C66390" w:rsidRPr="00BC20D6" w:rsidRDefault="00C66390" w:rsidP="00C66390">
      <w:pPr>
        <w:jc w:val="both"/>
      </w:pPr>
      <w:r w:rsidRPr="00BC20D6">
        <w:rPr>
          <w:rFonts w:cs="Arial"/>
        </w:rPr>
        <w:t>In preparing this report, Urbis was required to make judgements which may be affected by unforeseen future events, the likelihood and effects of which are not capable of precise assessment</w:t>
      </w:r>
      <w:r w:rsidRPr="00BC20D6">
        <w:t>.</w:t>
      </w:r>
    </w:p>
    <w:p w:rsidR="00C66390" w:rsidRPr="00882C14" w:rsidRDefault="00C66390" w:rsidP="00C66390">
      <w:pPr>
        <w:jc w:val="both"/>
      </w:pPr>
      <w:bookmarkStart w:id="226" w:name="prop_econ2"/>
      <w:r w:rsidRPr="00882C14">
        <w:t>Urbis has recorded any data sources used for this report within this report. These data have not been independently verified unless so noted within the report.</w:t>
      </w:r>
    </w:p>
    <w:bookmarkEnd w:id="226"/>
    <w:p w:rsidR="00C66390" w:rsidRPr="00882C14" w:rsidRDefault="00C66390" w:rsidP="00101D10">
      <w:pPr>
        <w:jc w:val="both"/>
        <w:rPr>
          <w:vanish/>
        </w:rPr>
      </w:pPr>
      <w:r w:rsidRPr="00BC20D6">
        <w:rPr>
          <w:rFonts w:cs="Arial"/>
        </w:rPr>
        <w:t>All surveys, forecasts, projections and recommendations contained in or associated with this report are made in good faith and on the basis of information supplied to Urbis at the date of this report</w:t>
      </w:r>
      <w:bookmarkStart w:id="227" w:name="Language"/>
      <w:r w:rsidR="00101D10">
        <w:rPr>
          <w:rFonts w:cs="Arial"/>
        </w:rPr>
        <w:t>.</w:t>
      </w:r>
      <w:bookmarkStart w:id="228" w:name="_GoBack"/>
      <w:bookmarkEnd w:id="228"/>
    </w:p>
    <w:bookmarkEnd w:id="227"/>
    <w:p w:rsidR="00C66390" w:rsidRPr="00BC20D6" w:rsidRDefault="00C66390" w:rsidP="00C66390">
      <w:pPr>
        <w:jc w:val="both"/>
        <w:rPr>
          <w:rFonts w:cs="Arial"/>
        </w:rPr>
      </w:pPr>
      <w:r w:rsidRPr="00BC20D6">
        <w:rPr>
          <w:rFonts w:cs="Arial"/>
        </w:rPr>
        <w:t>Whilst Urbis has made all reasonable inquiries it believes necessary in preparing this report, it is not responsible for determining the completeness or accuracy of information provided to it. Urbis (including its officers and personnel) is not liable for any errors or omissions, including in information provided by the Instructing Party or another person or upon which Urbis relies, provided that such errors or omissions are not made by Urbis recklessly or in bad faith.</w:t>
      </w:r>
    </w:p>
    <w:p w:rsidR="00C66390" w:rsidRPr="00BC20D6" w:rsidRDefault="00C66390" w:rsidP="00C66390">
      <w:pPr>
        <w:jc w:val="both"/>
      </w:pPr>
      <w:r w:rsidRPr="00BC20D6">
        <w:rPr>
          <w:rFonts w:cs="Arial"/>
        </w:rPr>
        <w:t>This report has been prepared with due care and diligence by Urbis and the statements and opinions given by Urbis in this report are given in good faith and in the reasonable belief that they are correct and not misleading</w:t>
      </w:r>
      <w:bookmarkStart w:id="229" w:name="prop_econ4"/>
      <w:r w:rsidRPr="00882C14">
        <w:rPr>
          <w:rFonts w:cs="Arial"/>
        </w:rPr>
        <w:t xml:space="preserve"> and taking into account events that could reasonably be expected to be foreseen</w:t>
      </w:r>
      <w:bookmarkEnd w:id="229"/>
      <w:r w:rsidRPr="00BC20D6">
        <w:rPr>
          <w:rFonts w:cs="Arial"/>
        </w:rPr>
        <w:t>, subject to the limitations above</w:t>
      </w:r>
      <w:r w:rsidRPr="00BC20D6">
        <w:t>.</w:t>
      </w:r>
    </w:p>
    <w:p w:rsidR="00C741E7" w:rsidRDefault="00C741E7" w:rsidP="00B534CE">
      <w:pPr>
        <w:rPr>
          <w:vanish/>
        </w:rPr>
      </w:pPr>
    </w:p>
    <w:p w:rsidR="00C741E7" w:rsidRDefault="00C741E7" w:rsidP="00B534CE">
      <w:pPr>
        <w:rPr>
          <w:vanish/>
        </w:rPr>
        <w:sectPr w:rsidR="00C741E7" w:rsidSect="00F128B7">
          <w:footerReference w:type="even" r:id="rId30"/>
          <w:footerReference w:type="default" r:id="rId31"/>
          <w:pgSz w:w="11907" w:h="16840" w:code="9"/>
          <w:pgMar w:top="1134" w:right="1134" w:bottom="1418" w:left="1417" w:header="272" w:footer="340" w:gutter="0"/>
          <w:cols w:space="708"/>
          <w:docGrid w:linePitch="360"/>
        </w:sectPr>
      </w:pPr>
    </w:p>
    <w:p w:rsidR="00C741E7" w:rsidRDefault="00D43846" w:rsidP="00C741E7">
      <w:pPr>
        <w:pStyle w:val="Appendix1"/>
      </w:pPr>
      <w:bookmarkStart w:id="230" w:name="_Toc467133538"/>
      <w:r>
        <w:lastRenderedPageBreak/>
        <w:t>Aboriginal Outcomes</w:t>
      </w:r>
      <w:bookmarkEnd w:id="230"/>
    </w:p>
    <w:p w:rsidR="00D43846" w:rsidRDefault="00D43846">
      <w:pPr>
        <w:spacing w:before="0" w:after="0"/>
      </w:pPr>
      <w:r>
        <w:br w:type="page"/>
      </w:r>
    </w:p>
    <w:p w:rsidR="00D43846" w:rsidRDefault="00D43846" w:rsidP="00D43846">
      <w:r>
        <w:lastRenderedPageBreak/>
        <w:fldChar w:fldCharType="begin"/>
      </w:r>
      <w:r>
        <w:instrText xml:space="preserve"> REF _Ref463951077 \h </w:instrText>
      </w:r>
      <w:r>
        <w:fldChar w:fldCharType="separate"/>
      </w:r>
      <w:r w:rsidR="00B03354" w:rsidRPr="00D43846">
        <w:t>Table</w:t>
      </w:r>
      <w:r w:rsidR="00B03354">
        <w:t>s</w:t>
      </w:r>
      <w:r w:rsidR="00B03354" w:rsidRPr="00D43846">
        <w:t xml:space="preserve"> </w:t>
      </w:r>
      <w:r w:rsidR="00B03354" w:rsidRPr="00D43846">
        <w:rPr>
          <w:noProof/>
        </w:rPr>
        <w:t>A</w:t>
      </w:r>
      <w:r w:rsidR="00B03354" w:rsidRPr="00D43846">
        <w:noBreakHyphen/>
      </w:r>
      <w:r w:rsidR="00B03354" w:rsidRPr="00D43846">
        <w:rPr>
          <w:noProof/>
        </w:rPr>
        <w:t>1</w:t>
      </w:r>
      <w:r>
        <w:fldChar w:fldCharType="end"/>
      </w:r>
      <w:r>
        <w:t xml:space="preserve"> list individual Aboriginal outcomes. Aboriginal community outcomes are not included.</w:t>
      </w:r>
    </w:p>
    <w:p w:rsidR="00D43846" w:rsidRPr="00D43846" w:rsidRDefault="00D43846" w:rsidP="00D43846">
      <w:pPr>
        <w:pStyle w:val="Caption"/>
        <w:keepNext/>
        <w:rPr>
          <w:sz w:val="20"/>
          <w:szCs w:val="20"/>
        </w:rPr>
      </w:pPr>
      <w:bookmarkStart w:id="231" w:name="_Ref463951077"/>
      <w:bookmarkStart w:id="232" w:name="_Toc463951065"/>
      <w:bookmarkStart w:id="233" w:name="_Toc465259461"/>
      <w:bookmarkStart w:id="234" w:name="_Toc465259468"/>
      <w:bookmarkStart w:id="235" w:name="_Toc465259544"/>
      <w:bookmarkStart w:id="236" w:name="_Toc465259751"/>
      <w:bookmarkStart w:id="237" w:name="_Toc466025155"/>
      <w:bookmarkStart w:id="238" w:name="_Toc466037279"/>
      <w:bookmarkStart w:id="239" w:name="_Toc467137558"/>
      <w:r w:rsidRPr="00D43846">
        <w:rPr>
          <w:sz w:val="20"/>
          <w:szCs w:val="20"/>
        </w:rPr>
        <w:t>Table</w:t>
      </w:r>
      <w:r w:rsidR="00B03354">
        <w:rPr>
          <w:sz w:val="20"/>
          <w:szCs w:val="20"/>
        </w:rPr>
        <w:t>s</w:t>
      </w:r>
      <w:r w:rsidRPr="00D43846">
        <w:rPr>
          <w:sz w:val="20"/>
          <w:szCs w:val="20"/>
        </w:rPr>
        <w:t xml:space="preserve"> </w:t>
      </w:r>
      <w:r w:rsidRPr="00D43846">
        <w:rPr>
          <w:sz w:val="20"/>
          <w:szCs w:val="20"/>
        </w:rPr>
        <w:fldChar w:fldCharType="begin"/>
      </w:r>
      <w:r w:rsidRPr="00D43846">
        <w:rPr>
          <w:sz w:val="20"/>
          <w:szCs w:val="20"/>
        </w:rPr>
        <w:instrText xml:space="preserve"> STYLEREF  \s Appendix1 </w:instrText>
      </w:r>
      <w:r w:rsidRPr="00D43846">
        <w:rPr>
          <w:sz w:val="20"/>
          <w:szCs w:val="20"/>
        </w:rPr>
        <w:fldChar w:fldCharType="separate"/>
      </w:r>
      <w:r w:rsidRPr="00D43846">
        <w:rPr>
          <w:noProof/>
          <w:sz w:val="20"/>
          <w:szCs w:val="20"/>
        </w:rPr>
        <w:t>A</w:t>
      </w:r>
      <w:r w:rsidRPr="00D43846">
        <w:rPr>
          <w:noProof/>
          <w:sz w:val="20"/>
          <w:szCs w:val="20"/>
        </w:rPr>
        <w:fldChar w:fldCharType="end"/>
      </w:r>
      <w:r w:rsidRPr="00D43846">
        <w:rPr>
          <w:sz w:val="20"/>
          <w:szCs w:val="20"/>
        </w:rPr>
        <w:noBreakHyphen/>
      </w:r>
      <w:r w:rsidRPr="00D43846">
        <w:rPr>
          <w:sz w:val="20"/>
          <w:szCs w:val="20"/>
        </w:rPr>
        <w:fldChar w:fldCharType="begin"/>
      </w:r>
      <w:r w:rsidRPr="00D43846">
        <w:rPr>
          <w:sz w:val="20"/>
          <w:szCs w:val="20"/>
        </w:rPr>
        <w:instrText xml:space="preserve"> SEQ Table \* ARABIC \r 1 </w:instrText>
      </w:r>
      <w:r w:rsidRPr="00D43846">
        <w:rPr>
          <w:sz w:val="20"/>
          <w:szCs w:val="20"/>
        </w:rPr>
        <w:fldChar w:fldCharType="separate"/>
      </w:r>
      <w:r w:rsidRPr="00D43846">
        <w:rPr>
          <w:noProof/>
          <w:sz w:val="20"/>
          <w:szCs w:val="20"/>
        </w:rPr>
        <w:t>1</w:t>
      </w:r>
      <w:r w:rsidRPr="00D43846">
        <w:rPr>
          <w:noProof/>
          <w:sz w:val="20"/>
          <w:szCs w:val="20"/>
        </w:rPr>
        <w:fldChar w:fldCharType="end"/>
      </w:r>
      <w:bookmarkEnd w:id="231"/>
      <w:r w:rsidRPr="00D43846">
        <w:rPr>
          <w:sz w:val="20"/>
          <w:szCs w:val="20"/>
        </w:rPr>
        <w:t xml:space="preserve"> – Individual Aboriginal outcomes 2015-16</w:t>
      </w:r>
      <w:bookmarkEnd w:id="232"/>
      <w:bookmarkEnd w:id="233"/>
      <w:bookmarkEnd w:id="234"/>
      <w:bookmarkEnd w:id="235"/>
      <w:bookmarkEnd w:id="236"/>
      <w:bookmarkEnd w:id="237"/>
      <w:bookmarkEnd w:id="238"/>
      <w:bookmarkEnd w:id="239"/>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Social, community and civic participation outcomes for Aboriginal participants in ALNSW and ELNSW"/>
      </w:tblPr>
      <w:tblGrid>
        <w:gridCol w:w="5905"/>
        <w:gridCol w:w="1223"/>
        <w:gridCol w:w="1223"/>
        <w:gridCol w:w="1221"/>
      </w:tblGrid>
      <w:tr w:rsidR="00D43846" w:rsidTr="00644E3B">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Default="00644E3B" w:rsidP="00644E3B">
            <w:pPr>
              <w:spacing w:after="60"/>
            </w:pPr>
            <w:r w:rsidRPr="00644E3B">
              <w:rPr>
                <w:b/>
                <w:color w:val="auto"/>
              </w:rPr>
              <w:t>Social, community and civic participation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D43846" w:rsidRDefault="00D43846" w:rsidP="00616D8A">
            <w:pPr>
              <w:spacing w:after="60"/>
              <w:rPr>
                <w:b/>
                <w:color w:val="auto"/>
              </w:rPr>
            </w:pPr>
            <w:r w:rsidRPr="00D43846">
              <w:rPr>
                <w:b/>
                <w:color w:val="auto"/>
              </w:rPr>
              <w:t>ALNSW</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D43846" w:rsidRDefault="00D43846" w:rsidP="00616D8A">
            <w:pPr>
              <w:spacing w:after="60"/>
              <w:rPr>
                <w:b/>
                <w:color w:val="auto"/>
              </w:rPr>
            </w:pPr>
            <w:r w:rsidRPr="00D43846">
              <w:rPr>
                <w:b/>
                <w:color w:val="auto"/>
              </w:rPr>
              <w:t>ELNSW</w:t>
            </w:r>
          </w:p>
        </w:tc>
        <w:tc>
          <w:tcPr>
            <w:tcW w:w="1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D43846" w:rsidRDefault="00D43846" w:rsidP="00616D8A">
            <w:pPr>
              <w:spacing w:after="60"/>
              <w:rPr>
                <w:b/>
                <w:color w:val="auto"/>
              </w:rPr>
            </w:pPr>
            <w:r w:rsidRPr="00D43846">
              <w:rPr>
                <w:b/>
                <w:color w:val="auto"/>
              </w:rPr>
              <w:t>Total</w:t>
            </w:r>
          </w:p>
        </w:tc>
      </w:tr>
      <w:tr w:rsidR="00D43846"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D43846" w:rsidRPr="00FD0B3F" w:rsidRDefault="00D43846" w:rsidP="00644E3B">
            <w:pPr>
              <w:spacing w:after="60"/>
            </w:pPr>
            <w:r w:rsidRPr="00FD0B3F">
              <w:t>Connection with friends/peers</w:t>
            </w:r>
          </w:p>
        </w:tc>
        <w:tc>
          <w:tcPr>
            <w:tcW w:w="1223" w:type="dxa"/>
            <w:shd w:val="clear" w:color="auto" w:fill="auto"/>
            <w:vAlign w:val="top"/>
          </w:tcPr>
          <w:p w:rsidR="00D43846" w:rsidRPr="00744F36" w:rsidRDefault="00D43846" w:rsidP="00616D8A">
            <w:pPr>
              <w:spacing w:after="60"/>
            </w:pPr>
            <w:r w:rsidRPr="00963622">
              <w:t xml:space="preserve">186 </w:t>
            </w:r>
          </w:p>
        </w:tc>
        <w:tc>
          <w:tcPr>
            <w:tcW w:w="1223" w:type="dxa"/>
            <w:shd w:val="clear" w:color="auto" w:fill="auto"/>
            <w:vAlign w:val="top"/>
          </w:tcPr>
          <w:p w:rsidR="00D43846" w:rsidRPr="00744F36" w:rsidRDefault="00D43846" w:rsidP="00616D8A">
            <w:pPr>
              <w:spacing w:after="60"/>
            </w:pPr>
            <w:r w:rsidRPr="00963622">
              <w:t xml:space="preserve">122 </w:t>
            </w:r>
          </w:p>
        </w:tc>
        <w:tc>
          <w:tcPr>
            <w:tcW w:w="1221" w:type="dxa"/>
            <w:shd w:val="clear" w:color="auto" w:fill="auto"/>
            <w:vAlign w:val="top"/>
          </w:tcPr>
          <w:p w:rsidR="00D43846" w:rsidRPr="00744F36" w:rsidRDefault="00D43846" w:rsidP="00616D8A">
            <w:pPr>
              <w:spacing w:after="60"/>
            </w:pPr>
            <w:r w:rsidRPr="00963622">
              <w:t xml:space="preserve">308 </w:t>
            </w:r>
          </w:p>
        </w:tc>
      </w:tr>
      <w:tr w:rsidR="00D43846" w:rsidTr="00644E3B">
        <w:tc>
          <w:tcPr>
            <w:tcW w:w="5905" w:type="dxa"/>
            <w:vAlign w:val="top"/>
          </w:tcPr>
          <w:p w:rsidR="00D43846" w:rsidRPr="00FD0B3F" w:rsidRDefault="00D43846" w:rsidP="00644E3B">
            <w:pPr>
              <w:spacing w:after="60"/>
            </w:pPr>
            <w:r w:rsidRPr="00FD0B3F">
              <w:t>Informal family support activities</w:t>
            </w:r>
          </w:p>
        </w:tc>
        <w:tc>
          <w:tcPr>
            <w:tcW w:w="1223" w:type="dxa"/>
            <w:vAlign w:val="top"/>
          </w:tcPr>
          <w:p w:rsidR="00D43846" w:rsidRPr="00744F36" w:rsidRDefault="00D43846" w:rsidP="00616D8A">
            <w:pPr>
              <w:spacing w:after="60"/>
            </w:pPr>
            <w:r w:rsidRPr="00963622">
              <w:t xml:space="preserve">254 </w:t>
            </w:r>
          </w:p>
        </w:tc>
        <w:tc>
          <w:tcPr>
            <w:tcW w:w="1223" w:type="dxa"/>
            <w:vAlign w:val="top"/>
          </w:tcPr>
          <w:p w:rsidR="00D43846" w:rsidRPr="00744F36" w:rsidRDefault="00D43846" w:rsidP="00616D8A">
            <w:pPr>
              <w:spacing w:after="60"/>
            </w:pPr>
            <w:r w:rsidRPr="00963622">
              <w:t xml:space="preserve">288 </w:t>
            </w:r>
          </w:p>
        </w:tc>
        <w:tc>
          <w:tcPr>
            <w:tcW w:w="1221" w:type="dxa"/>
            <w:vAlign w:val="top"/>
          </w:tcPr>
          <w:p w:rsidR="00D43846" w:rsidRPr="00744F36" w:rsidRDefault="00D43846" w:rsidP="00616D8A">
            <w:pPr>
              <w:spacing w:after="60"/>
            </w:pPr>
            <w:r w:rsidRPr="00963622">
              <w:t xml:space="preserve">542 </w:t>
            </w:r>
          </w:p>
        </w:tc>
      </w:tr>
      <w:tr w:rsidR="00D43846"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D43846" w:rsidRPr="00FD0B3F" w:rsidRDefault="00D43846" w:rsidP="00644E3B">
            <w:pPr>
              <w:spacing w:after="60"/>
            </w:pPr>
            <w:r w:rsidRPr="00FD0B3F">
              <w:t>Connection with a community or interest group</w:t>
            </w:r>
          </w:p>
        </w:tc>
        <w:tc>
          <w:tcPr>
            <w:tcW w:w="1223" w:type="dxa"/>
            <w:shd w:val="clear" w:color="auto" w:fill="auto"/>
            <w:vAlign w:val="top"/>
          </w:tcPr>
          <w:p w:rsidR="00D43846" w:rsidRPr="00744F36" w:rsidRDefault="00D43846" w:rsidP="00616D8A">
            <w:pPr>
              <w:spacing w:after="60"/>
            </w:pPr>
            <w:r w:rsidRPr="00963622">
              <w:t xml:space="preserve">140 </w:t>
            </w:r>
          </w:p>
        </w:tc>
        <w:tc>
          <w:tcPr>
            <w:tcW w:w="1223" w:type="dxa"/>
            <w:shd w:val="clear" w:color="auto" w:fill="auto"/>
            <w:vAlign w:val="top"/>
          </w:tcPr>
          <w:p w:rsidR="00D43846" w:rsidRPr="00744F36" w:rsidRDefault="00D43846" w:rsidP="00616D8A">
            <w:pPr>
              <w:spacing w:after="60"/>
            </w:pPr>
            <w:r w:rsidRPr="00963622">
              <w:t xml:space="preserve">146 </w:t>
            </w:r>
          </w:p>
        </w:tc>
        <w:tc>
          <w:tcPr>
            <w:tcW w:w="1221" w:type="dxa"/>
            <w:shd w:val="clear" w:color="auto" w:fill="auto"/>
            <w:vAlign w:val="top"/>
          </w:tcPr>
          <w:p w:rsidR="00D43846" w:rsidRPr="00744F36" w:rsidRDefault="00D43846" w:rsidP="00616D8A">
            <w:pPr>
              <w:spacing w:after="60"/>
            </w:pPr>
            <w:r w:rsidRPr="00963622">
              <w:t xml:space="preserve">286 </w:t>
            </w:r>
          </w:p>
        </w:tc>
      </w:tr>
      <w:tr w:rsidR="00D43846" w:rsidTr="00644E3B">
        <w:tc>
          <w:tcPr>
            <w:tcW w:w="5905" w:type="dxa"/>
            <w:vAlign w:val="top"/>
          </w:tcPr>
          <w:p w:rsidR="00D43846" w:rsidRPr="00FD0B3F" w:rsidRDefault="00D43846" w:rsidP="00644E3B">
            <w:pPr>
              <w:spacing w:after="60"/>
            </w:pPr>
            <w:r w:rsidRPr="00FD0B3F">
              <w:t>Recreational activity linked to passions</w:t>
            </w:r>
          </w:p>
        </w:tc>
        <w:tc>
          <w:tcPr>
            <w:tcW w:w="1223" w:type="dxa"/>
            <w:vAlign w:val="top"/>
          </w:tcPr>
          <w:p w:rsidR="00D43846" w:rsidRPr="00744F36" w:rsidRDefault="00D43846" w:rsidP="00616D8A">
            <w:pPr>
              <w:spacing w:after="60"/>
            </w:pPr>
            <w:r w:rsidRPr="00963622">
              <w:t xml:space="preserve">106 </w:t>
            </w:r>
          </w:p>
        </w:tc>
        <w:tc>
          <w:tcPr>
            <w:tcW w:w="1223" w:type="dxa"/>
            <w:vAlign w:val="top"/>
          </w:tcPr>
          <w:p w:rsidR="00D43846" w:rsidRPr="00744F36" w:rsidRDefault="00D43846" w:rsidP="00616D8A">
            <w:pPr>
              <w:spacing w:after="60"/>
            </w:pPr>
            <w:r w:rsidRPr="00963622">
              <w:t xml:space="preserve">94 </w:t>
            </w:r>
          </w:p>
        </w:tc>
        <w:tc>
          <w:tcPr>
            <w:tcW w:w="1221" w:type="dxa"/>
            <w:vAlign w:val="top"/>
          </w:tcPr>
          <w:p w:rsidR="00D43846" w:rsidRPr="00744F36" w:rsidRDefault="00D43846" w:rsidP="00616D8A">
            <w:pPr>
              <w:spacing w:after="60"/>
            </w:pPr>
            <w:r w:rsidRPr="00963622">
              <w:t xml:space="preserve">200 </w:t>
            </w:r>
          </w:p>
        </w:tc>
      </w:tr>
      <w:tr w:rsidR="00D43846"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D43846" w:rsidRPr="00FD0B3F" w:rsidRDefault="00D43846" w:rsidP="00644E3B">
            <w:pPr>
              <w:spacing w:after="60"/>
            </w:pPr>
            <w:r w:rsidRPr="00FD0B3F">
              <w:t>Community or social events</w:t>
            </w:r>
          </w:p>
        </w:tc>
        <w:tc>
          <w:tcPr>
            <w:tcW w:w="1223" w:type="dxa"/>
            <w:shd w:val="clear" w:color="auto" w:fill="auto"/>
            <w:vAlign w:val="top"/>
          </w:tcPr>
          <w:p w:rsidR="00D43846" w:rsidRPr="00744F36" w:rsidRDefault="00D43846" w:rsidP="00616D8A">
            <w:pPr>
              <w:spacing w:after="60"/>
            </w:pPr>
            <w:r w:rsidRPr="00963622">
              <w:t xml:space="preserve">92 </w:t>
            </w:r>
          </w:p>
        </w:tc>
        <w:tc>
          <w:tcPr>
            <w:tcW w:w="1223" w:type="dxa"/>
            <w:shd w:val="clear" w:color="auto" w:fill="auto"/>
            <w:vAlign w:val="top"/>
          </w:tcPr>
          <w:p w:rsidR="00D43846" w:rsidRPr="00744F36" w:rsidRDefault="00D43846" w:rsidP="00616D8A">
            <w:pPr>
              <w:spacing w:after="60"/>
            </w:pPr>
            <w:r w:rsidRPr="00963622">
              <w:t xml:space="preserve">92 </w:t>
            </w:r>
          </w:p>
        </w:tc>
        <w:tc>
          <w:tcPr>
            <w:tcW w:w="1221" w:type="dxa"/>
            <w:shd w:val="clear" w:color="auto" w:fill="auto"/>
            <w:vAlign w:val="top"/>
          </w:tcPr>
          <w:p w:rsidR="00D43846" w:rsidRPr="00744F36" w:rsidRDefault="00D43846" w:rsidP="00616D8A">
            <w:pPr>
              <w:spacing w:after="60"/>
            </w:pPr>
            <w:r w:rsidRPr="00963622">
              <w:t xml:space="preserve">184 </w:t>
            </w:r>
          </w:p>
        </w:tc>
      </w:tr>
      <w:tr w:rsidR="00D43846" w:rsidTr="00644E3B">
        <w:tc>
          <w:tcPr>
            <w:tcW w:w="5905" w:type="dxa"/>
            <w:vAlign w:val="top"/>
          </w:tcPr>
          <w:p w:rsidR="00D43846" w:rsidRPr="00FD0B3F" w:rsidRDefault="00D43846" w:rsidP="00644E3B">
            <w:pPr>
              <w:spacing w:after="60"/>
            </w:pPr>
            <w:r w:rsidRPr="00FD0B3F">
              <w:t>Connection with services specifically focused on increasing community connections</w:t>
            </w:r>
          </w:p>
        </w:tc>
        <w:tc>
          <w:tcPr>
            <w:tcW w:w="1223" w:type="dxa"/>
            <w:vAlign w:val="top"/>
          </w:tcPr>
          <w:p w:rsidR="00D43846" w:rsidRPr="00744F36" w:rsidRDefault="00D43846" w:rsidP="00616D8A">
            <w:pPr>
              <w:spacing w:after="60"/>
            </w:pPr>
            <w:r w:rsidRPr="00963622">
              <w:t xml:space="preserve">276 </w:t>
            </w:r>
          </w:p>
        </w:tc>
        <w:tc>
          <w:tcPr>
            <w:tcW w:w="1223" w:type="dxa"/>
            <w:vAlign w:val="top"/>
          </w:tcPr>
          <w:p w:rsidR="00D43846" w:rsidRPr="00744F36" w:rsidRDefault="00D43846" w:rsidP="00616D8A">
            <w:pPr>
              <w:spacing w:after="60"/>
            </w:pPr>
            <w:r w:rsidRPr="00963622">
              <w:t xml:space="preserve">200 </w:t>
            </w:r>
          </w:p>
        </w:tc>
        <w:tc>
          <w:tcPr>
            <w:tcW w:w="1221" w:type="dxa"/>
            <w:vAlign w:val="top"/>
          </w:tcPr>
          <w:p w:rsidR="00D43846" w:rsidRPr="00744F36" w:rsidRDefault="00D43846" w:rsidP="00616D8A">
            <w:pPr>
              <w:spacing w:after="60"/>
            </w:pPr>
            <w:r w:rsidRPr="00963622">
              <w:t xml:space="preserve">476 </w:t>
            </w:r>
          </w:p>
        </w:tc>
      </w:tr>
      <w:tr w:rsidR="00D43846"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D43846" w:rsidRDefault="00D43846" w:rsidP="00644E3B">
            <w:pPr>
              <w:spacing w:after="60"/>
            </w:pPr>
            <w:r w:rsidRPr="00FD0B3F">
              <w:t>Cultural connection</w:t>
            </w:r>
          </w:p>
        </w:tc>
        <w:tc>
          <w:tcPr>
            <w:tcW w:w="1223" w:type="dxa"/>
            <w:shd w:val="clear" w:color="auto" w:fill="auto"/>
            <w:vAlign w:val="top"/>
          </w:tcPr>
          <w:p w:rsidR="00D43846" w:rsidRPr="00744F36" w:rsidRDefault="00D43846" w:rsidP="00616D8A">
            <w:pPr>
              <w:spacing w:after="60"/>
            </w:pPr>
            <w:r w:rsidRPr="00963622">
              <w:t xml:space="preserve">182 </w:t>
            </w:r>
          </w:p>
        </w:tc>
        <w:tc>
          <w:tcPr>
            <w:tcW w:w="1223" w:type="dxa"/>
            <w:shd w:val="clear" w:color="auto" w:fill="auto"/>
            <w:vAlign w:val="top"/>
          </w:tcPr>
          <w:p w:rsidR="00D43846" w:rsidRPr="00744F36" w:rsidRDefault="00D43846" w:rsidP="00616D8A">
            <w:pPr>
              <w:spacing w:after="60"/>
            </w:pPr>
            <w:r w:rsidRPr="00963622">
              <w:t xml:space="preserve">54 </w:t>
            </w:r>
          </w:p>
        </w:tc>
        <w:tc>
          <w:tcPr>
            <w:tcW w:w="1221" w:type="dxa"/>
            <w:shd w:val="clear" w:color="auto" w:fill="auto"/>
            <w:vAlign w:val="top"/>
          </w:tcPr>
          <w:p w:rsidR="00D43846" w:rsidRPr="00744F36" w:rsidRDefault="00D43846" w:rsidP="00616D8A">
            <w:pPr>
              <w:spacing w:after="60"/>
            </w:pPr>
            <w:r w:rsidRPr="00963622">
              <w:t xml:space="preserve">236 </w:t>
            </w:r>
          </w:p>
        </w:tc>
      </w:tr>
      <w:tr w:rsidR="00D43846" w:rsidTr="00644E3B">
        <w:tc>
          <w:tcPr>
            <w:tcW w:w="5905" w:type="dxa"/>
            <w:vAlign w:val="top"/>
          </w:tcPr>
          <w:p w:rsidR="00D43846" w:rsidRPr="001E3FFD" w:rsidRDefault="00D43846" w:rsidP="00644E3B">
            <w:pPr>
              <w:spacing w:after="60"/>
              <w:rPr>
                <w:b/>
              </w:rPr>
            </w:pPr>
            <w:r w:rsidRPr="001E3FFD">
              <w:rPr>
                <w:b/>
              </w:rPr>
              <w:t xml:space="preserve">Social, </w:t>
            </w:r>
            <w:r>
              <w:rPr>
                <w:b/>
              </w:rPr>
              <w:t>c</w:t>
            </w:r>
            <w:r w:rsidRPr="001E3FFD">
              <w:rPr>
                <w:b/>
              </w:rPr>
              <w:t xml:space="preserve">ommunity and </w:t>
            </w:r>
            <w:r>
              <w:rPr>
                <w:b/>
              </w:rPr>
              <w:t>c</w:t>
            </w:r>
            <w:r w:rsidRPr="001E3FFD">
              <w:rPr>
                <w:b/>
              </w:rPr>
              <w:t xml:space="preserve">ivic </w:t>
            </w:r>
            <w:r>
              <w:rPr>
                <w:b/>
              </w:rPr>
              <w:t>p</w:t>
            </w:r>
            <w:r w:rsidRPr="001E3FFD">
              <w:rPr>
                <w:b/>
              </w:rPr>
              <w:t xml:space="preserve">articipation </w:t>
            </w:r>
            <w:r>
              <w:rPr>
                <w:b/>
              </w:rPr>
              <w:t>t</w:t>
            </w:r>
            <w:r w:rsidRPr="001E3FFD">
              <w:rPr>
                <w:b/>
              </w:rPr>
              <w:t>otal</w:t>
            </w:r>
          </w:p>
        </w:tc>
        <w:tc>
          <w:tcPr>
            <w:tcW w:w="1223" w:type="dxa"/>
            <w:vAlign w:val="top"/>
          </w:tcPr>
          <w:p w:rsidR="00D43846" w:rsidRPr="00277791" w:rsidRDefault="00D43846" w:rsidP="00616D8A">
            <w:pPr>
              <w:spacing w:after="60"/>
              <w:rPr>
                <w:b/>
              </w:rPr>
            </w:pPr>
            <w:r w:rsidRPr="00277791">
              <w:rPr>
                <w:b/>
              </w:rPr>
              <w:t xml:space="preserve">1,236 </w:t>
            </w:r>
          </w:p>
        </w:tc>
        <w:tc>
          <w:tcPr>
            <w:tcW w:w="1223" w:type="dxa"/>
            <w:vAlign w:val="top"/>
          </w:tcPr>
          <w:p w:rsidR="00D43846" w:rsidRPr="00277791" w:rsidRDefault="00D43846" w:rsidP="00616D8A">
            <w:pPr>
              <w:spacing w:after="60"/>
              <w:rPr>
                <w:b/>
              </w:rPr>
            </w:pPr>
            <w:r w:rsidRPr="00277791">
              <w:rPr>
                <w:b/>
              </w:rPr>
              <w:t xml:space="preserve">996 </w:t>
            </w:r>
          </w:p>
        </w:tc>
        <w:tc>
          <w:tcPr>
            <w:tcW w:w="1221" w:type="dxa"/>
            <w:vAlign w:val="top"/>
          </w:tcPr>
          <w:p w:rsidR="00D43846" w:rsidRPr="00277791" w:rsidRDefault="00D43846" w:rsidP="00616D8A">
            <w:pPr>
              <w:spacing w:after="60"/>
              <w:rPr>
                <w:b/>
              </w:rPr>
            </w:pPr>
            <w:r w:rsidRPr="00277791">
              <w:rPr>
                <w:b/>
              </w:rPr>
              <w:t xml:space="preserve">2,232 </w:t>
            </w:r>
          </w:p>
        </w:tc>
      </w:tr>
    </w:tbl>
    <w:p w:rsidR="00644E3B" w:rsidRPr="0069578E" w:rsidRDefault="00644E3B"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Service engagment outcomes for Aboriginal participants in ALNSW and ELNSW"/>
      </w:tblPr>
      <w:tblGrid>
        <w:gridCol w:w="5905"/>
        <w:gridCol w:w="1223"/>
        <w:gridCol w:w="1223"/>
        <w:gridCol w:w="1221"/>
      </w:tblGrid>
      <w:tr w:rsidR="00644E3B" w:rsidTr="00644E3B">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Default="00644E3B" w:rsidP="00644E3B">
            <w:pPr>
              <w:spacing w:after="60"/>
            </w:pPr>
            <w:r w:rsidRPr="00644E3B">
              <w:rPr>
                <w:b/>
                <w:color w:val="auto"/>
              </w:rPr>
              <w:t>Service engagement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ALNSW</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ELNSW</w:t>
            </w:r>
          </w:p>
        </w:tc>
        <w:tc>
          <w:tcPr>
            <w:tcW w:w="1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Total</w:t>
            </w:r>
          </w:p>
        </w:tc>
      </w:tr>
      <w:tr w:rsidR="00644E3B"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BD21F6" w:rsidRDefault="00644E3B" w:rsidP="00644E3B">
            <w:pPr>
              <w:spacing w:after="60"/>
            </w:pPr>
            <w:r w:rsidRPr="00BD21F6">
              <w:t>Access mainstream services</w:t>
            </w:r>
          </w:p>
        </w:tc>
        <w:tc>
          <w:tcPr>
            <w:tcW w:w="1223" w:type="dxa"/>
            <w:shd w:val="clear" w:color="auto" w:fill="auto"/>
            <w:vAlign w:val="top"/>
          </w:tcPr>
          <w:p w:rsidR="00644E3B" w:rsidRPr="00122CAC" w:rsidRDefault="00644E3B" w:rsidP="00616D8A">
            <w:pPr>
              <w:spacing w:after="60"/>
            </w:pPr>
            <w:r w:rsidRPr="009E0825">
              <w:t xml:space="preserve">958 </w:t>
            </w:r>
          </w:p>
        </w:tc>
        <w:tc>
          <w:tcPr>
            <w:tcW w:w="1223" w:type="dxa"/>
            <w:shd w:val="clear" w:color="auto" w:fill="auto"/>
            <w:vAlign w:val="top"/>
          </w:tcPr>
          <w:p w:rsidR="00644E3B" w:rsidRPr="00122CAC" w:rsidRDefault="00644E3B" w:rsidP="00616D8A">
            <w:pPr>
              <w:spacing w:after="60"/>
            </w:pPr>
            <w:r w:rsidRPr="009E0825">
              <w:t xml:space="preserve">926 </w:t>
            </w:r>
          </w:p>
        </w:tc>
        <w:tc>
          <w:tcPr>
            <w:tcW w:w="1221" w:type="dxa"/>
            <w:shd w:val="clear" w:color="auto" w:fill="auto"/>
            <w:vAlign w:val="top"/>
          </w:tcPr>
          <w:p w:rsidR="00644E3B" w:rsidRPr="00122CAC" w:rsidRDefault="00644E3B" w:rsidP="00616D8A">
            <w:pPr>
              <w:spacing w:after="60"/>
            </w:pPr>
            <w:r w:rsidRPr="009E0825">
              <w:t xml:space="preserve">1,884 </w:t>
            </w:r>
          </w:p>
        </w:tc>
      </w:tr>
      <w:tr w:rsidR="00644E3B" w:rsidTr="00644E3B">
        <w:tc>
          <w:tcPr>
            <w:tcW w:w="5905" w:type="dxa"/>
            <w:vAlign w:val="top"/>
          </w:tcPr>
          <w:p w:rsidR="00644E3B" w:rsidRPr="00BD21F6" w:rsidRDefault="00644E3B" w:rsidP="00644E3B">
            <w:pPr>
              <w:spacing w:after="60"/>
            </w:pPr>
            <w:r w:rsidRPr="00BD21F6">
              <w:t>Access specialist disability support</w:t>
            </w:r>
          </w:p>
        </w:tc>
        <w:tc>
          <w:tcPr>
            <w:tcW w:w="1223" w:type="dxa"/>
            <w:vAlign w:val="top"/>
          </w:tcPr>
          <w:p w:rsidR="00644E3B" w:rsidRPr="00122CAC" w:rsidRDefault="00644E3B" w:rsidP="00616D8A">
            <w:pPr>
              <w:spacing w:after="60"/>
            </w:pPr>
            <w:r w:rsidRPr="009E0825">
              <w:t xml:space="preserve">558 </w:t>
            </w:r>
          </w:p>
        </w:tc>
        <w:tc>
          <w:tcPr>
            <w:tcW w:w="1223" w:type="dxa"/>
            <w:vAlign w:val="top"/>
          </w:tcPr>
          <w:p w:rsidR="00644E3B" w:rsidRPr="00122CAC" w:rsidRDefault="00644E3B" w:rsidP="00616D8A">
            <w:pPr>
              <w:spacing w:after="60"/>
            </w:pPr>
            <w:r w:rsidRPr="009E0825">
              <w:t xml:space="preserve">592 </w:t>
            </w:r>
          </w:p>
        </w:tc>
        <w:tc>
          <w:tcPr>
            <w:tcW w:w="1221" w:type="dxa"/>
            <w:vAlign w:val="top"/>
          </w:tcPr>
          <w:p w:rsidR="00644E3B" w:rsidRPr="00122CAC" w:rsidRDefault="00644E3B" w:rsidP="00616D8A">
            <w:pPr>
              <w:spacing w:after="60"/>
            </w:pPr>
            <w:r w:rsidRPr="009E0825">
              <w:t xml:space="preserve">1,150 </w:t>
            </w:r>
          </w:p>
        </w:tc>
      </w:tr>
      <w:tr w:rsidR="00644E3B" w:rsidTr="00644E3B">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1E3FFD" w:rsidRDefault="00644E3B" w:rsidP="00644E3B">
            <w:pPr>
              <w:spacing w:after="60"/>
              <w:rPr>
                <w:b/>
              </w:rPr>
            </w:pPr>
            <w:r w:rsidRPr="001E3FFD">
              <w:rPr>
                <w:b/>
              </w:rPr>
              <w:t xml:space="preserve">Service </w:t>
            </w:r>
            <w:r>
              <w:rPr>
                <w:b/>
              </w:rPr>
              <w:t>e</w:t>
            </w:r>
            <w:r w:rsidRPr="001E3FFD">
              <w:rPr>
                <w:b/>
              </w:rPr>
              <w:t xml:space="preserve">ngagement </w:t>
            </w:r>
            <w:r>
              <w:rPr>
                <w:b/>
              </w:rPr>
              <w:t>t</w:t>
            </w:r>
            <w:r w:rsidRPr="001E3FFD">
              <w:rPr>
                <w:b/>
              </w:rPr>
              <w:t>otal</w:t>
            </w:r>
          </w:p>
        </w:tc>
        <w:tc>
          <w:tcPr>
            <w:tcW w:w="1223" w:type="dxa"/>
            <w:shd w:val="clear" w:color="auto" w:fill="auto"/>
            <w:vAlign w:val="top"/>
          </w:tcPr>
          <w:p w:rsidR="00644E3B" w:rsidRPr="00277791" w:rsidRDefault="00644E3B" w:rsidP="00616D8A">
            <w:pPr>
              <w:spacing w:after="60"/>
              <w:rPr>
                <w:b/>
              </w:rPr>
            </w:pPr>
            <w:r w:rsidRPr="00277791">
              <w:rPr>
                <w:b/>
              </w:rPr>
              <w:t xml:space="preserve">1,516 </w:t>
            </w:r>
          </w:p>
        </w:tc>
        <w:tc>
          <w:tcPr>
            <w:tcW w:w="1223" w:type="dxa"/>
            <w:shd w:val="clear" w:color="auto" w:fill="auto"/>
            <w:vAlign w:val="top"/>
          </w:tcPr>
          <w:p w:rsidR="00644E3B" w:rsidRPr="00277791" w:rsidRDefault="00644E3B" w:rsidP="00616D8A">
            <w:pPr>
              <w:spacing w:after="60"/>
              <w:rPr>
                <w:b/>
              </w:rPr>
            </w:pPr>
            <w:r w:rsidRPr="00277791">
              <w:rPr>
                <w:b/>
              </w:rPr>
              <w:t xml:space="preserve">1,518 </w:t>
            </w:r>
          </w:p>
        </w:tc>
        <w:tc>
          <w:tcPr>
            <w:tcW w:w="1221" w:type="dxa"/>
            <w:shd w:val="clear" w:color="auto" w:fill="auto"/>
            <w:vAlign w:val="top"/>
          </w:tcPr>
          <w:p w:rsidR="00644E3B" w:rsidRPr="00277791" w:rsidRDefault="00644E3B" w:rsidP="00616D8A">
            <w:pPr>
              <w:spacing w:after="60"/>
              <w:rPr>
                <w:b/>
              </w:rPr>
            </w:pPr>
            <w:r w:rsidRPr="00277791">
              <w:rPr>
                <w:b/>
              </w:rPr>
              <w:t xml:space="preserve">3,034 </w:t>
            </w:r>
          </w:p>
        </w:tc>
      </w:tr>
    </w:tbl>
    <w:p w:rsidR="00644E3B" w:rsidRPr="0069578E" w:rsidRDefault="00644E3B"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Employment outcomes for Aboriginal participants in ALNSW and ELNSW"/>
      </w:tblPr>
      <w:tblGrid>
        <w:gridCol w:w="5905"/>
        <w:gridCol w:w="1223"/>
        <w:gridCol w:w="1223"/>
        <w:gridCol w:w="1221"/>
      </w:tblGrid>
      <w:tr w:rsidR="00644E3B" w:rsidTr="00616D8A">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Default="00644E3B" w:rsidP="00616D8A">
            <w:pPr>
              <w:spacing w:after="60"/>
            </w:pPr>
            <w:r w:rsidRPr="00644E3B">
              <w:rPr>
                <w:b/>
                <w:color w:val="auto"/>
              </w:rPr>
              <w:t>Employment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ALNSW</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ELNSW</w:t>
            </w:r>
          </w:p>
        </w:tc>
        <w:tc>
          <w:tcPr>
            <w:tcW w:w="1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Total</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5A79DA" w:rsidRDefault="00644E3B" w:rsidP="00616D8A">
            <w:pPr>
              <w:spacing w:after="60"/>
            </w:pPr>
            <w:r w:rsidRPr="005A79DA">
              <w:t>Small business/entrepreneurial advice/grants information</w:t>
            </w:r>
          </w:p>
        </w:tc>
        <w:tc>
          <w:tcPr>
            <w:tcW w:w="1223" w:type="dxa"/>
            <w:shd w:val="clear" w:color="auto" w:fill="auto"/>
            <w:vAlign w:val="top"/>
          </w:tcPr>
          <w:p w:rsidR="00644E3B" w:rsidRPr="00373F0A" w:rsidRDefault="00644E3B" w:rsidP="00616D8A">
            <w:pPr>
              <w:spacing w:after="60"/>
            </w:pPr>
            <w:r w:rsidRPr="00876414">
              <w:t xml:space="preserve">14 </w:t>
            </w:r>
          </w:p>
        </w:tc>
        <w:tc>
          <w:tcPr>
            <w:tcW w:w="1223" w:type="dxa"/>
            <w:shd w:val="clear" w:color="auto" w:fill="auto"/>
            <w:vAlign w:val="top"/>
          </w:tcPr>
          <w:p w:rsidR="00644E3B" w:rsidRPr="00373F0A" w:rsidRDefault="00644E3B" w:rsidP="00616D8A">
            <w:pPr>
              <w:spacing w:after="60"/>
            </w:pPr>
            <w:r w:rsidRPr="00876414">
              <w:t xml:space="preserve">2 </w:t>
            </w:r>
          </w:p>
        </w:tc>
        <w:tc>
          <w:tcPr>
            <w:tcW w:w="1221" w:type="dxa"/>
            <w:shd w:val="clear" w:color="auto" w:fill="auto"/>
            <w:vAlign w:val="top"/>
          </w:tcPr>
          <w:p w:rsidR="00644E3B" w:rsidRPr="00373F0A" w:rsidRDefault="00644E3B" w:rsidP="00616D8A">
            <w:pPr>
              <w:spacing w:after="60"/>
            </w:pPr>
            <w:r w:rsidRPr="00876414">
              <w:t xml:space="preserve">16 </w:t>
            </w:r>
          </w:p>
        </w:tc>
      </w:tr>
      <w:tr w:rsidR="00644E3B" w:rsidTr="00616D8A">
        <w:tc>
          <w:tcPr>
            <w:tcW w:w="5905" w:type="dxa"/>
            <w:vAlign w:val="top"/>
          </w:tcPr>
          <w:p w:rsidR="00644E3B" w:rsidRPr="005A79DA" w:rsidRDefault="00644E3B" w:rsidP="00616D8A">
            <w:pPr>
              <w:spacing w:after="60"/>
            </w:pPr>
            <w:r w:rsidRPr="005A79DA">
              <w:t>Skills development support</w:t>
            </w:r>
          </w:p>
        </w:tc>
        <w:tc>
          <w:tcPr>
            <w:tcW w:w="1223" w:type="dxa"/>
            <w:vAlign w:val="top"/>
          </w:tcPr>
          <w:p w:rsidR="00644E3B" w:rsidRPr="00373F0A" w:rsidRDefault="00644E3B" w:rsidP="00616D8A">
            <w:pPr>
              <w:spacing w:after="60"/>
            </w:pPr>
            <w:r w:rsidRPr="00876414">
              <w:t xml:space="preserve">80 </w:t>
            </w:r>
          </w:p>
        </w:tc>
        <w:tc>
          <w:tcPr>
            <w:tcW w:w="1223" w:type="dxa"/>
            <w:vAlign w:val="top"/>
          </w:tcPr>
          <w:p w:rsidR="00644E3B" w:rsidRPr="00373F0A" w:rsidRDefault="00644E3B" w:rsidP="00616D8A">
            <w:pPr>
              <w:spacing w:after="60"/>
            </w:pPr>
            <w:r w:rsidRPr="00876414">
              <w:t xml:space="preserve">54 </w:t>
            </w:r>
          </w:p>
        </w:tc>
        <w:tc>
          <w:tcPr>
            <w:tcW w:w="1221" w:type="dxa"/>
            <w:vAlign w:val="top"/>
          </w:tcPr>
          <w:p w:rsidR="00644E3B" w:rsidRPr="00373F0A" w:rsidRDefault="00644E3B" w:rsidP="00616D8A">
            <w:pPr>
              <w:spacing w:after="60"/>
            </w:pPr>
            <w:r w:rsidRPr="00876414">
              <w:t xml:space="preserve">134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5A79DA" w:rsidRDefault="00644E3B" w:rsidP="00616D8A">
            <w:pPr>
              <w:spacing w:after="60"/>
            </w:pPr>
            <w:r w:rsidRPr="005A79DA">
              <w:t>Assistance negotiating/liaising with employers to secure employment</w:t>
            </w:r>
          </w:p>
        </w:tc>
        <w:tc>
          <w:tcPr>
            <w:tcW w:w="1223" w:type="dxa"/>
            <w:shd w:val="clear" w:color="auto" w:fill="auto"/>
            <w:vAlign w:val="top"/>
          </w:tcPr>
          <w:p w:rsidR="00644E3B" w:rsidRPr="00373F0A" w:rsidRDefault="00644E3B" w:rsidP="00616D8A">
            <w:pPr>
              <w:spacing w:after="60"/>
            </w:pPr>
            <w:r w:rsidRPr="00876414">
              <w:t xml:space="preserve">44 </w:t>
            </w:r>
          </w:p>
        </w:tc>
        <w:tc>
          <w:tcPr>
            <w:tcW w:w="1223" w:type="dxa"/>
            <w:shd w:val="clear" w:color="auto" w:fill="auto"/>
            <w:vAlign w:val="top"/>
          </w:tcPr>
          <w:p w:rsidR="00644E3B" w:rsidRPr="00373F0A" w:rsidRDefault="00644E3B" w:rsidP="00616D8A">
            <w:pPr>
              <w:spacing w:after="60"/>
            </w:pPr>
            <w:r w:rsidRPr="00876414">
              <w:t xml:space="preserve">18 </w:t>
            </w:r>
          </w:p>
        </w:tc>
        <w:tc>
          <w:tcPr>
            <w:tcW w:w="1221" w:type="dxa"/>
            <w:shd w:val="clear" w:color="auto" w:fill="auto"/>
            <w:vAlign w:val="top"/>
          </w:tcPr>
          <w:p w:rsidR="00644E3B" w:rsidRPr="00373F0A" w:rsidRDefault="00644E3B" w:rsidP="00616D8A">
            <w:pPr>
              <w:spacing w:after="60"/>
            </w:pPr>
            <w:r w:rsidRPr="00876414">
              <w:t xml:space="preserve">62 </w:t>
            </w:r>
          </w:p>
        </w:tc>
      </w:tr>
      <w:tr w:rsidR="00644E3B" w:rsidTr="00616D8A">
        <w:tc>
          <w:tcPr>
            <w:tcW w:w="5905" w:type="dxa"/>
            <w:vAlign w:val="top"/>
          </w:tcPr>
          <w:p w:rsidR="00644E3B" w:rsidRPr="005A79DA" w:rsidRDefault="00644E3B" w:rsidP="00616D8A">
            <w:pPr>
              <w:spacing w:after="60"/>
            </w:pPr>
            <w:r w:rsidRPr="005A79DA">
              <w:t>Connecting with disability employment services</w:t>
            </w:r>
          </w:p>
        </w:tc>
        <w:tc>
          <w:tcPr>
            <w:tcW w:w="1223" w:type="dxa"/>
            <w:vAlign w:val="top"/>
          </w:tcPr>
          <w:p w:rsidR="00644E3B" w:rsidRPr="00373F0A" w:rsidRDefault="00644E3B" w:rsidP="00616D8A">
            <w:pPr>
              <w:spacing w:after="60"/>
            </w:pPr>
            <w:r w:rsidRPr="00876414">
              <w:t xml:space="preserve">84 </w:t>
            </w:r>
          </w:p>
        </w:tc>
        <w:tc>
          <w:tcPr>
            <w:tcW w:w="1223" w:type="dxa"/>
            <w:vAlign w:val="top"/>
          </w:tcPr>
          <w:p w:rsidR="00644E3B" w:rsidRPr="00373F0A" w:rsidRDefault="00644E3B" w:rsidP="00616D8A">
            <w:pPr>
              <w:spacing w:after="60"/>
            </w:pPr>
            <w:r w:rsidRPr="00876414">
              <w:t xml:space="preserve">34 </w:t>
            </w:r>
          </w:p>
        </w:tc>
        <w:tc>
          <w:tcPr>
            <w:tcW w:w="1221" w:type="dxa"/>
            <w:vAlign w:val="top"/>
          </w:tcPr>
          <w:p w:rsidR="00644E3B" w:rsidRPr="00373F0A" w:rsidRDefault="00644E3B" w:rsidP="00616D8A">
            <w:pPr>
              <w:spacing w:after="60"/>
            </w:pPr>
            <w:r w:rsidRPr="00876414">
              <w:t xml:space="preserve">118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5A79DA" w:rsidRDefault="00644E3B" w:rsidP="00616D8A">
            <w:pPr>
              <w:spacing w:after="60"/>
            </w:pPr>
            <w:r w:rsidRPr="005A79DA">
              <w:t>Work Experience</w:t>
            </w:r>
          </w:p>
        </w:tc>
        <w:tc>
          <w:tcPr>
            <w:tcW w:w="1223" w:type="dxa"/>
            <w:shd w:val="clear" w:color="auto" w:fill="auto"/>
            <w:vAlign w:val="top"/>
          </w:tcPr>
          <w:p w:rsidR="00644E3B" w:rsidRPr="00373F0A" w:rsidRDefault="00644E3B" w:rsidP="00616D8A">
            <w:pPr>
              <w:spacing w:after="60"/>
            </w:pPr>
            <w:r w:rsidRPr="00876414">
              <w:t xml:space="preserve">20 </w:t>
            </w:r>
          </w:p>
        </w:tc>
        <w:tc>
          <w:tcPr>
            <w:tcW w:w="1223" w:type="dxa"/>
            <w:shd w:val="clear" w:color="auto" w:fill="auto"/>
            <w:vAlign w:val="top"/>
          </w:tcPr>
          <w:p w:rsidR="00644E3B" w:rsidRPr="00373F0A" w:rsidRDefault="00644E3B" w:rsidP="00616D8A">
            <w:pPr>
              <w:spacing w:after="60"/>
            </w:pPr>
            <w:r w:rsidRPr="00876414">
              <w:t xml:space="preserve">2 </w:t>
            </w:r>
          </w:p>
        </w:tc>
        <w:tc>
          <w:tcPr>
            <w:tcW w:w="1221" w:type="dxa"/>
            <w:shd w:val="clear" w:color="auto" w:fill="auto"/>
            <w:vAlign w:val="top"/>
          </w:tcPr>
          <w:p w:rsidR="00644E3B" w:rsidRPr="00373F0A" w:rsidRDefault="00644E3B" w:rsidP="00616D8A">
            <w:pPr>
              <w:spacing w:after="60"/>
            </w:pPr>
            <w:r w:rsidRPr="00876414">
              <w:t xml:space="preserve">22 </w:t>
            </w:r>
          </w:p>
        </w:tc>
      </w:tr>
      <w:tr w:rsidR="00644E3B" w:rsidTr="00616D8A">
        <w:tc>
          <w:tcPr>
            <w:tcW w:w="5905" w:type="dxa"/>
            <w:vAlign w:val="top"/>
          </w:tcPr>
          <w:p w:rsidR="00644E3B" w:rsidRPr="005A79DA" w:rsidRDefault="00644E3B" w:rsidP="00616D8A">
            <w:pPr>
              <w:spacing w:after="60"/>
            </w:pPr>
            <w:r w:rsidRPr="005A79DA">
              <w:t>Volunteering</w:t>
            </w:r>
          </w:p>
        </w:tc>
        <w:tc>
          <w:tcPr>
            <w:tcW w:w="1223" w:type="dxa"/>
            <w:vAlign w:val="top"/>
          </w:tcPr>
          <w:p w:rsidR="00644E3B" w:rsidRPr="00373F0A" w:rsidRDefault="00644E3B" w:rsidP="00616D8A">
            <w:pPr>
              <w:spacing w:after="60"/>
            </w:pPr>
            <w:r w:rsidRPr="00876414">
              <w:t xml:space="preserve">18 </w:t>
            </w:r>
          </w:p>
        </w:tc>
        <w:tc>
          <w:tcPr>
            <w:tcW w:w="1223" w:type="dxa"/>
            <w:vAlign w:val="top"/>
          </w:tcPr>
          <w:p w:rsidR="00644E3B" w:rsidRPr="00373F0A" w:rsidRDefault="00644E3B" w:rsidP="00616D8A">
            <w:pPr>
              <w:spacing w:after="60"/>
            </w:pPr>
            <w:r w:rsidRPr="00876414">
              <w:t xml:space="preserve">6 </w:t>
            </w:r>
          </w:p>
        </w:tc>
        <w:tc>
          <w:tcPr>
            <w:tcW w:w="1221" w:type="dxa"/>
            <w:vAlign w:val="top"/>
          </w:tcPr>
          <w:p w:rsidR="00644E3B" w:rsidRPr="00373F0A" w:rsidRDefault="00644E3B" w:rsidP="00616D8A">
            <w:pPr>
              <w:spacing w:after="60"/>
            </w:pPr>
            <w:r w:rsidRPr="00876414">
              <w:t xml:space="preserve">24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1E3FFD" w:rsidRDefault="00644E3B" w:rsidP="00616D8A">
            <w:pPr>
              <w:spacing w:after="60"/>
              <w:rPr>
                <w:b/>
              </w:rPr>
            </w:pPr>
            <w:r w:rsidRPr="001E3FFD">
              <w:rPr>
                <w:b/>
              </w:rPr>
              <w:t xml:space="preserve">Employment </w:t>
            </w:r>
            <w:r>
              <w:rPr>
                <w:b/>
              </w:rPr>
              <w:t>t</w:t>
            </w:r>
            <w:r w:rsidRPr="001E3FFD">
              <w:rPr>
                <w:b/>
              </w:rPr>
              <w:t xml:space="preserve">otal </w:t>
            </w:r>
          </w:p>
        </w:tc>
        <w:tc>
          <w:tcPr>
            <w:tcW w:w="1223" w:type="dxa"/>
            <w:shd w:val="clear" w:color="auto" w:fill="auto"/>
            <w:vAlign w:val="top"/>
          </w:tcPr>
          <w:p w:rsidR="00644E3B" w:rsidRPr="00277791" w:rsidRDefault="00644E3B" w:rsidP="00616D8A">
            <w:pPr>
              <w:spacing w:after="60"/>
              <w:rPr>
                <w:b/>
              </w:rPr>
            </w:pPr>
            <w:r w:rsidRPr="00277791">
              <w:rPr>
                <w:b/>
              </w:rPr>
              <w:t xml:space="preserve">260 </w:t>
            </w:r>
          </w:p>
        </w:tc>
        <w:tc>
          <w:tcPr>
            <w:tcW w:w="1223" w:type="dxa"/>
            <w:shd w:val="clear" w:color="auto" w:fill="auto"/>
            <w:vAlign w:val="top"/>
          </w:tcPr>
          <w:p w:rsidR="00644E3B" w:rsidRPr="00277791" w:rsidRDefault="00644E3B" w:rsidP="00616D8A">
            <w:pPr>
              <w:spacing w:after="60"/>
              <w:rPr>
                <w:b/>
              </w:rPr>
            </w:pPr>
            <w:r w:rsidRPr="00277791">
              <w:rPr>
                <w:b/>
              </w:rPr>
              <w:t xml:space="preserve">116 </w:t>
            </w:r>
          </w:p>
        </w:tc>
        <w:tc>
          <w:tcPr>
            <w:tcW w:w="1221" w:type="dxa"/>
            <w:shd w:val="clear" w:color="auto" w:fill="auto"/>
            <w:vAlign w:val="top"/>
          </w:tcPr>
          <w:p w:rsidR="00644E3B" w:rsidRPr="00277791" w:rsidRDefault="00644E3B" w:rsidP="00616D8A">
            <w:pPr>
              <w:spacing w:after="60"/>
              <w:rPr>
                <w:b/>
              </w:rPr>
            </w:pPr>
            <w:r w:rsidRPr="00277791">
              <w:rPr>
                <w:b/>
              </w:rPr>
              <w:t xml:space="preserve">376 </w:t>
            </w:r>
          </w:p>
        </w:tc>
      </w:tr>
    </w:tbl>
    <w:p w:rsidR="00644E3B" w:rsidRDefault="00644E3B" w:rsidP="0069578E">
      <w:pPr>
        <w:pStyle w:val="Caption"/>
        <w:spacing w:after="0"/>
        <w:rPr>
          <w:i/>
          <w:sz w:val="18"/>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Education and training outcomes for Aboriginal participants in ALNSW and ELNSW"/>
      </w:tblPr>
      <w:tblGrid>
        <w:gridCol w:w="5905"/>
        <w:gridCol w:w="1223"/>
        <w:gridCol w:w="1223"/>
        <w:gridCol w:w="1221"/>
      </w:tblGrid>
      <w:tr w:rsidR="00644E3B" w:rsidTr="00616D8A">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Default="00616D8A" w:rsidP="00616D8A">
            <w:pPr>
              <w:spacing w:after="60"/>
            </w:pPr>
            <w:r w:rsidRPr="00616D8A">
              <w:rPr>
                <w:b/>
                <w:color w:val="auto"/>
              </w:rPr>
              <w:t>Education and training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ALNSW</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ELNSW</w:t>
            </w:r>
          </w:p>
        </w:tc>
        <w:tc>
          <w:tcPr>
            <w:tcW w:w="1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Total</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E603EA" w:rsidRDefault="00644E3B" w:rsidP="00616D8A">
            <w:pPr>
              <w:spacing w:after="60"/>
            </w:pPr>
            <w:r>
              <w:t>Assistance identifying/</w:t>
            </w:r>
            <w:r w:rsidRPr="00E603EA">
              <w:t>connecting to TAFE or University courses</w:t>
            </w:r>
          </w:p>
        </w:tc>
        <w:tc>
          <w:tcPr>
            <w:tcW w:w="1223" w:type="dxa"/>
            <w:shd w:val="clear" w:color="auto" w:fill="auto"/>
            <w:vAlign w:val="top"/>
          </w:tcPr>
          <w:p w:rsidR="00644E3B" w:rsidRPr="0025398D" w:rsidRDefault="00644E3B" w:rsidP="00616D8A">
            <w:pPr>
              <w:spacing w:after="60"/>
            </w:pPr>
            <w:r w:rsidRPr="000D3098">
              <w:t xml:space="preserve">74 </w:t>
            </w:r>
          </w:p>
        </w:tc>
        <w:tc>
          <w:tcPr>
            <w:tcW w:w="1223" w:type="dxa"/>
            <w:shd w:val="clear" w:color="auto" w:fill="auto"/>
            <w:vAlign w:val="top"/>
          </w:tcPr>
          <w:p w:rsidR="00644E3B" w:rsidRPr="0025398D" w:rsidRDefault="00644E3B" w:rsidP="00616D8A">
            <w:pPr>
              <w:spacing w:after="60"/>
            </w:pPr>
            <w:r w:rsidRPr="000D3098">
              <w:t xml:space="preserve">14 </w:t>
            </w:r>
          </w:p>
        </w:tc>
        <w:tc>
          <w:tcPr>
            <w:tcW w:w="1221" w:type="dxa"/>
            <w:shd w:val="clear" w:color="auto" w:fill="auto"/>
            <w:vAlign w:val="top"/>
          </w:tcPr>
          <w:p w:rsidR="00644E3B" w:rsidRPr="0025398D" w:rsidRDefault="00644E3B" w:rsidP="00616D8A">
            <w:pPr>
              <w:spacing w:after="60"/>
            </w:pPr>
            <w:r w:rsidRPr="000D3098">
              <w:t xml:space="preserve">88 </w:t>
            </w:r>
          </w:p>
        </w:tc>
      </w:tr>
      <w:tr w:rsidR="00644E3B" w:rsidTr="00616D8A">
        <w:tc>
          <w:tcPr>
            <w:tcW w:w="5905" w:type="dxa"/>
            <w:vAlign w:val="top"/>
          </w:tcPr>
          <w:p w:rsidR="00644E3B" w:rsidRPr="00E603EA" w:rsidRDefault="00644E3B" w:rsidP="00616D8A">
            <w:pPr>
              <w:spacing w:after="60"/>
            </w:pPr>
            <w:r w:rsidRPr="00E603EA">
              <w:t>Training activities related to employment</w:t>
            </w:r>
          </w:p>
        </w:tc>
        <w:tc>
          <w:tcPr>
            <w:tcW w:w="1223" w:type="dxa"/>
            <w:vAlign w:val="top"/>
          </w:tcPr>
          <w:p w:rsidR="00644E3B" w:rsidRPr="0025398D" w:rsidRDefault="00644E3B" w:rsidP="00616D8A">
            <w:pPr>
              <w:spacing w:after="60"/>
            </w:pPr>
            <w:r w:rsidRPr="000D3098">
              <w:t xml:space="preserve">68 </w:t>
            </w:r>
          </w:p>
        </w:tc>
        <w:tc>
          <w:tcPr>
            <w:tcW w:w="1223" w:type="dxa"/>
            <w:vAlign w:val="top"/>
          </w:tcPr>
          <w:p w:rsidR="00644E3B" w:rsidRPr="0025398D" w:rsidRDefault="00644E3B" w:rsidP="00616D8A">
            <w:pPr>
              <w:spacing w:after="60"/>
            </w:pPr>
            <w:r w:rsidRPr="000D3098">
              <w:t xml:space="preserve">16 </w:t>
            </w:r>
          </w:p>
        </w:tc>
        <w:tc>
          <w:tcPr>
            <w:tcW w:w="1221" w:type="dxa"/>
            <w:vAlign w:val="top"/>
          </w:tcPr>
          <w:p w:rsidR="00644E3B" w:rsidRPr="0025398D" w:rsidRDefault="00644E3B" w:rsidP="00616D8A">
            <w:pPr>
              <w:spacing w:after="60"/>
            </w:pPr>
            <w:r w:rsidRPr="000D3098">
              <w:t xml:space="preserve">84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E603EA" w:rsidRDefault="00644E3B" w:rsidP="00616D8A">
            <w:pPr>
              <w:spacing w:after="60"/>
            </w:pPr>
            <w:r w:rsidRPr="00E603EA">
              <w:t>Support accessing or liaising with schools</w:t>
            </w:r>
          </w:p>
        </w:tc>
        <w:tc>
          <w:tcPr>
            <w:tcW w:w="1223" w:type="dxa"/>
            <w:shd w:val="clear" w:color="auto" w:fill="auto"/>
            <w:vAlign w:val="top"/>
          </w:tcPr>
          <w:p w:rsidR="00644E3B" w:rsidRPr="0025398D" w:rsidRDefault="00644E3B" w:rsidP="00616D8A">
            <w:pPr>
              <w:spacing w:after="60"/>
            </w:pPr>
            <w:r w:rsidRPr="000D3098">
              <w:t xml:space="preserve">152 </w:t>
            </w:r>
          </w:p>
        </w:tc>
        <w:tc>
          <w:tcPr>
            <w:tcW w:w="1223" w:type="dxa"/>
            <w:shd w:val="clear" w:color="auto" w:fill="auto"/>
            <w:vAlign w:val="top"/>
          </w:tcPr>
          <w:p w:rsidR="00644E3B" w:rsidRPr="0025398D" w:rsidRDefault="00644E3B" w:rsidP="00616D8A">
            <w:pPr>
              <w:spacing w:after="60"/>
            </w:pPr>
            <w:r w:rsidRPr="000D3098">
              <w:t xml:space="preserve">280 </w:t>
            </w:r>
          </w:p>
        </w:tc>
        <w:tc>
          <w:tcPr>
            <w:tcW w:w="1221" w:type="dxa"/>
            <w:shd w:val="clear" w:color="auto" w:fill="auto"/>
            <w:vAlign w:val="top"/>
          </w:tcPr>
          <w:p w:rsidR="00644E3B" w:rsidRPr="0025398D" w:rsidRDefault="00644E3B" w:rsidP="00616D8A">
            <w:pPr>
              <w:spacing w:after="60"/>
            </w:pPr>
            <w:r w:rsidRPr="000D3098">
              <w:t xml:space="preserve">432 </w:t>
            </w:r>
          </w:p>
        </w:tc>
      </w:tr>
      <w:tr w:rsidR="00644E3B" w:rsidTr="00616D8A">
        <w:tc>
          <w:tcPr>
            <w:tcW w:w="5905" w:type="dxa"/>
            <w:vAlign w:val="top"/>
          </w:tcPr>
          <w:p w:rsidR="00644E3B" w:rsidRPr="001E3FFD" w:rsidRDefault="00644E3B" w:rsidP="00616D8A">
            <w:pPr>
              <w:spacing w:after="60"/>
              <w:rPr>
                <w:b/>
              </w:rPr>
            </w:pPr>
            <w:r w:rsidRPr="001E3FFD">
              <w:rPr>
                <w:b/>
              </w:rPr>
              <w:t xml:space="preserve">Education and </w:t>
            </w:r>
            <w:r>
              <w:rPr>
                <w:b/>
              </w:rPr>
              <w:t>t</w:t>
            </w:r>
            <w:r w:rsidRPr="001E3FFD">
              <w:rPr>
                <w:b/>
              </w:rPr>
              <w:t xml:space="preserve">raining </w:t>
            </w:r>
            <w:r>
              <w:rPr>
                <w:b/>
              </w:rPr>
              <w:t>t</w:t>
            </w:r>
            <w:r w:rsidRPr="001E3FFD">
              <w:rPr>
                <w:b/>
              </w:rPr>
              <w:t>otal</w:t>
            </w:r>
          </w:p>
        </w:tc>
        <w:tc>
          <w:tcPr>
            <w:tcW w:w="1223" w:type="dxa"/>
            <w:vAlign w:val="top"/>
          </w:tcPr>
          <w:p w:rsidR="00644E3B" w:rsidRPr="00277791" w:rsidRDefault="00644E3B" w:rsidP="00616D8A">
            <w:pPr>
              <w:spacing w:after="60"/>
              <w:rPr>
                <w:b/>
              </w:rPr>
            </w:pPr>
            <w:r w:rsidRPr="00277791">
              <w:rPr>
                <w:b/>
              </w:rPr>
              <w:t xml:space="preserve">294 </w:t>
            </w:r>
          </w:p>
        </w:tc>
        <w:tc>
          <w:tcPr>
            <w:tcW w:w="1223" w:type="dxa"/>
            <w:vAlign w:val="top"/>
          </w:tcPr>
          <w:p w:rsidR="00644E3B" w:rsidRPr="00277791" w:rsidRDefault="00644E3B" w:rsidP="00616D8A">
            <w:pPr>
              <w:spacing w:after="60"/>
              <w:rPr>
                <w:b/>
              </w:rPr>
            </w:pPr>
            <w:r w:rsidRPr="00277791">
              <w:rPr>
                <w:b/>
              </w:rPr>
              <w:t xml:space="preserve">310 </w:t>
            </w:r>
          </w:p>
        </w:tc>
        <w:tc>
          <w:tcPr>
            <w:tcW w:w="1221" w:type="dxa"/>
            <w:vAlign w:val="top"/>
          </w:tcPr>
          <w:p w:rsidR="00644E3B" w:rsidRPr="00277791" w:rsidRDefault="00644E3B" w:rsidP="00616D8A">
            <w:pPr>
              <w:spacing w:after="60"/>
              <w:rPr>
                <w:b/>
              </w:rPr>
            </w:pPr>
            <w:r w:rsidRPr="00277791">
              <w:rPr>
                <w:b/>
              </w:rPr>
              <w:t xml:space="preserve">604 </w:t>
            </w:r>
          </w:p>
        </w:tc>
      </w:tr>
    </w:tbl>
    <w:p w:rsidR="00616D8A" w:rsidRPr="0069578E" w:rsidRDefault="00616D8A" w:rsidP="0069578E">
      <w:pPr>
        <w:pStyle w:val="Caption"/>
        <w:spacing w:after="0"/>
        <w:rPr>
          <w:sz w:val="12"/>
          <w:szCs w:val="12"/>
        </w:rPr>
      </w:pPr>
    </w:p>
    <w:p w:rsidR="00616D8A" w:rsidRDefault="00616D8A">
      <w:pPr>
        <w:spacing w:before="0" w:after="0"/>
        <w:rPr>
          <w:i/>
          <w:sz w:val="18"/>
        </w:rPr>
      </w:pPr>
      <w:r>
        <w:rPr>
          <w:i/>
          <w:sz w:val="18"/>
        </w:rPr>
        <w:br w:type="page"/>
      </w:r>
    </w:p>
    <w:p w:rsidR="00644E3B" w:rsidRDefault="00644E3B" w:rsidP="00D43846">
      <w:pPr>
        <w:rPr>
          <w:i/>
          <w:sz w:val="18"/>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Totals for each of the different categories of outcomes for Aboriginal participants in ALNSW and ELNSW"/>
      </w:tblPr>
      <w:tblGrid>
        <w:gridCol w:w="5905"/>
        <w:gridCol w:w="1223"/>
        <w:gridCol w:w="1223"/>
        <w:gridCol w:w="1221"/>
      </w:tblGrid>
      <w:tr w:rsidR="00644E3B" w:rsidTr="00616D8A">
        <w:trPr>
          <w:cnfStyle w:val="100000000000" w:firstRow="1" w:lastRow="0" w:firstColumn="0" w:lastColumn="0" w:oddVBand="0" w:evenVBand="0" w:oddHBand="0" w:evenHBand="0" w:firstRowFirstColumn="0" w:firstRowLastColumn="0" w:lastRowFirstColumn="0" w:lastRowLastColumn="0"/>
          <w:tblHeader/>
        </w:trPr>
        <w:tc>
          <w:tcPr>
            <w:tcW w:w="59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Default="00616D8A" w:rsidP="00B03354">
            <w:pPr>
              <w:spacing w:after="60"/>
            </w:pPr>
            <w:bookmarkStart w:id="240" w:name="ColumnTitle_TableA_1"/>
            <w:bookmarkEnd w:id="240"/>
            <w:r w:rsidRPr="00616D8A">
              <w:rPr>
                <w:b/>
                <w:color w:val="auto"/>
              </w:rPr>
              <w:t>Total individual outcomes</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ALNSW</w:t>
            </w:r>
          </w:p>
        </w:tc>
        <w:tc>
          <w:tcPr>
            <w:tcW w:w="12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ELNSW</w:t>
            </w:r>
          </w:p>
        </w:tc>
        <w:tc>
          <w:tcPr>
            <w:tcW w:w="12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44E3B" w:rsidRPr="00D43846" w:rsidRDefault="00644E3B" w:rsidP="00616D8A">
            <w:pPr>
              <w:spacing w:after="60"/>
              <w:rPr>
                <w:b/>
                <w:color w:val="auto"/>
              </w:rPr>
            </w:pPr>
            <w:r w:rsidRPr="00D43846">
              <w:rPr>
                <w:b/>
                <w:color w:val="auto"/>
              </w:rPr>
              <w:t>Total</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616D8A" w:rsidRDefault="00644E3B" w:rsidP="00B03354">
            <w:pPr>
              <w:spacing w:after="60"/>
            </w:pPr>
            <w:r w:rsidRPr="00616D8A">
              <w:t xml:space="preserve">Social, community and civic participation </w:t>
            </w:r>
          </w:p>
        </w:tc>
        <w:tc>
          <w:tcPr>
            <w:tcW w:w="1223" w:type="dxa"/>
            <w:shd w:val="clear" w:color="auto" w:fill="auto"/>
            <w:vAlign w:val="top"/>
          </w:tcPr>
          <w:p w:rsidR="00644E3B" w:rsidRPr="00616D8A" w:rsidRDefault="00644E3B" w:rsidP="00616D8A">
            <w:pPr>
              <w:spacing w:after="60"/>
            </w:pPr>
            <w:r w:rsidRPr="00616D8A">
              <w:t xml:space="preserve">1,236 </w:t>
            </w:r>
          </w:p>
        </w:tc>
        <w:tc>
          <w:tcPr>
            <w:tcW w:w="1223" w:type="dxa"/>
            <w:shd w:val="clear" w:color="auto" w:fill="auto"/>
            <w:vAlign w:val="top"/>
          </w:tcPr>
          <w:p w:rsidR="00644E3B" w:rsidRPr="00616D8A" w:rsidRDefault="00644E3B" w:rsidP="00616D8A">
            <w:pPr>
              <w:spacing w:after="60"/>
            </w:pPr>
            <w:r w:rsidRPr="00616D8A">
              <w:t xml:space="preserve">996 </w:t>
            </w:r>
          </w:p>
        </w:tc>
        <w:tc>
          <w:tcPr>
            <w:tcW w:w="1221" w:type="dxa"/>
            <w:shd w:val="clear" w:color="auto" w:fill="auto"/>
            <w:vAlign w:val="top"/>
          </w:tcPr>
          <w:p w:rsidR="00644E3B" w:rsidRPr="00616D8A" w:rsidRDefault="00644E3B" w:rsidP="00616D8A">
            <w:pPr>
              <w:spacing w:after="60"/>
            </w:pPr>
            <w:r w:rsidRPr="00616D8A">
              <w:t xml:space="preserve">2,232 </w:t>
            </w:r>
          </w:p>
        </w:tc>
      </w:tr>
      <w:tr w:rsidR="00644E3B" w:rsidTr="00616D8A">
        <w:tc>
          <w:tcPr>
            <w:tcW w:w="5905" w:type="dxa"/>
            <w:vAlign w:val="top"/>
          </w:tcPr>
          <w:p w:rsidR="00644E3B" w:rsidRPr="00616D8A" w:rsidRDefault="00644E3B" w:rsidP="00B03354">
            <w:pPr>
              <w:spacing w:after="60"/>
            </w:pPr>
            <w:r w:rsidRPr="00616D8A">
              <w:t xml:space="preserve">Service engagement </w:t>
            </w:r>
          </w:p>
        </w:tc>
        <w:tc>
          <w:tcPr>
            <w:tcW w:w="1223" w:type="dxa"/>
            <w:vAlign w:val="top"/>
          </w:tcPr>
          <w:p w:rsidR="00644E3B" w:rsidRPr="00616D8A" w:rsidRDefault="00644E3B" w:rsidP="00616D8A">
            <w:pPr>
              <w:spacing w:after="60"/>
            </w:pPr>
            <w:r w:rsidRPr="00616D8A">
              <w:t xml:space="preserve">1,516 </w:t>
            </w:r>
          </w:p>
        </w:tc>
        <w:tc>
          <w:tcPr>
            <w:tcW w:w="1223" w:type="dxa"/>
            <w:vAlign w:val="top"/>
          </w:tcPr>
          <w:p w:rsidR="00644E3B" w:rsidRPr="00616D8A" w:rsidRDefault="00644E3B" w:rsidP="00616D8A">
            <w:pPr>
              <w:spacing w:after="60"/>
            </w:pPr>
            <w:r w:rsidRPr="00616D8A">
              <w:t xml:space="preserve">1,518 </w:t>
            </w:r>
          </w:p>
        </w:tc>
        <w:tc>
          <w:tcPr>
            <w:tcW w:w="1221" w:type="dxa"/>
            <w:vAlign w:val="top"/>
          </w:tcPr>
          <w:p w:rsidR="00644E3B" w:rsidRPr="00616D8A" w:rsidRDefault="00644E3B" w:rsidP="00616D8A">
            <w:pPr>
              <w:spacing w:after="60"/>
            </w:pPr>
            <w:r w:rsidRPr="00616D8A">
              <w:t xml:space="preserve">3,034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616D8A" w:rsidRDefault="00644E3B" w:rsidP="00B03354">
            <w:pPr>
              <w:spacing w:after="60"/>
            </w:pPr>
            <w:r w:rsidRPr="00616D8A">
              <w:t xml:space="preserve">Employment </w:t>
            </w:r>
          </w:p>
        </w:tc>
        <w:tc>
          <w:tcPr>
            <w:tcW w:w="1223" w:type="dxa"/>
            <w:shd w:val="clear" w:color="auto" w:fill="auto"/>
            <w:vAlign w:val="top"/>
          </w:tcPr>
          <w:p w:rsidR="00644E3B" w:rsidRPr="00616D8A" w:rsidRDefault="00644E3B" w:rsidP="00616D8A">
            <w:pPr>
              <w:spacing w:after="60"/>
            </w:pPr>
            <w:r w:rsidRPr="00616D8A">
              <w:t xml:space="preserve">260 </w:t>
            </w:r>
          </w:p>
        </w:tc>
        <w:tc>
          <w:tcPr>
            <w:tcW w:w="1223" w:type="dxa"/>
            <w:shd w:val="clear" w:color="auto" w:fill="auto"/>
            <w:vAlign w:val="top"/>
          </w:tcPr>
          <w:p w:rsidR="00644E3B" w:rsidRPr="00616D8A" w:rsidRDefault="00644E3B" w:rsidP="00616D8A">
            <w:pPr>
              <w:spacing w:after="60"/>
            </w:pPr>
            <w:r w:rsidRPr="00616D8A">
              <w:t xml:space="preserve">116 </w:t>
            </w:r>
          </w:p>
        </w:tc>
        <w:tc>
          <w:tcPr>
            <w:tcW w:w="1221" w:type="dxa"/>
            <w:shd w:val="clear" w:color="auto" w:fill="auto"/>
            <w:vAlign w:val="top"/>
          </w:tcPr>
          <w:p w:rsidR="00644E3B" w:rsidRPr="00616D8A" w:rsidRDefault="00644E3B" w:rsidP="00616D8A">
            <w:pPr>
              <w:spacing w:after="60"/>
            </w:pPr>
            <w:r w:rsidRPr="00616D8A">
              <w:t xml:space="preserve">376 </w:t>
            </w:r>
          </w:p>
        </w:tc>
      </w:tr>
      <w:tr w:rsidR="00644E3B" w:rsidTr="00616D8A">
        <w:tc>
          <w:tcPr>
            <w:tcW w:w="5905" w:type="dxa"/>
            <w:vAlign w:val="top"/>
          </w:tcPr>
          <w:p w:rsidR="00644E3B" w:rsidRPr="00616D8A" w:rsidRDefault="00644E3B" w:rsidP="00B03354">
            <w:pPr>
              <w:spacing w:after="60"/>
            </w:pPr>
            <w:r w:rsidRPr="00616D8A">
              <w:t xml:space="preserve">Education and training </w:t>
            </w:r>
          </w:p>
        </w:tc>
        <w:tc>
          <w:tcPr>
            <w:tcW w:w="1223" w:type="dxa"/>
            <w:vAlign w:val="top"/>
          </w:tcPr>
          <w:p w:rsidR="00644E3B" w:rsidRPr="00616D8A" w:rsidRDefault="00644E3B" w:rsidP="00616D8A">
            <w:pPr>
              <w:spacing w:after="60"/>
            </w:pPr>
            <w:r w:rsidRPr="00616D8A">
              <w:t xml:space="preserve">294 </w:t>
            </w:r>
          </w:p>
        </w:tc>
        <w:tc>
          <w:tcPr>
            <w:tcW w:w="1223" w:type="dxa"/>
            <w:vAlign w:val="top"/>
          </w:tcPr>
          <w:p w:rsidR="00644E3B" w:rsidRPr="00616D8A" w:rsidRDefault="00644E3B" w:rsidP="00616D8A">
            <w:pPr>
              <w:spacing w:after="60"/>
            </w:pPr>
            <w:r w:rsidRPr="00616D8A">
              <w:t xml:space="preserve">310 </w:t>
            </w:r>
          </w:p>
        </w:tc>
        <w:tc>
          <w:tcPr>
            <w:tcW w:w="1221" w:type="dxa"/>
            <w:vAlign w:val="top"/>
          </w:tcPr>
          <w:p w:rsidR="00644E3B" w:rsidRPr="00616D8A" w:rsidRDefault="00644E3B" w:rsidP="00616D8A">
            <w:pPr>
              <w:spacing w:after="60"/>
            </w:pPr>
            <w:r w:rsidRPr="00616D8A">
              <w:t xml:space="preserve">604 </w:t>
            </w:r>
          </w:p>
        </w:tc>
      </w:tr>
      <w:tr w:rsidR="00644E3B" w:rsidTr="00616D8A">
        <w:trPr>
          <w:cnfStyle w:val="000000100000" w:firstRow="0" w:lastRow="0" w:firstColumn="0" w:lastColumn="0" w:oddVBand="0" w:evenVBand="0" w:oddHBand="1" w:evenHBand="0" w:firstRowFirstColumn="0" w:firstRowLastColumn="0" w:lastRowFirstColumn="0" w:lastRowLastColumn="0"/>
        </w:trPr>
        <w:tc>
          <w:tcPr>
            <w:tcW w:w="5905" w:type="dxa"/>
            <w:shd w:val="clear" w:color="auto" w:fill="auto"/>
            <w:vAlign w:val="top"/>
          </w:tcPr>
          <w:p w:rsidR="00644E3B" w:rsidRPr="001E3FFD" w:rsidRDefault="00644E3B" w:rsidP="00616D8A">
            <w:pPr>
              <w:spacing w:after="60"/>
              <w:rPr>
                <w:b/>
              </w:rPr>
            </w:pPr>
            <w:r w:rsidRPr="001E3FFD">
              <w:rPr>
                <w:b/>
              </w:rPr>
              <w:t xml:space="preserve">Total </w:t>
            </w:r>
            <w:r>
              <w:rPr>
                <w:b/>
              </w:rPr>
              <w:t>all individual</w:t>
            </w:r>
            <w:r w:rsidRPr="001E3FFD">
              <w:rPr>
                <w:b/>
              </w:rPr>
              <w:t xml:space="preserve"> </w:t>
            </w:r>
            <w:r>
              <w:rPr>
                <w:b/>
              </w:rPr>
              <w:t>o</w:t>
            </w:r>
            <w:r w:rsidRPr="001E3FFD">
              <w:rPr>
                <w:b/>
              </w:rPr>
              <w:t>utcomes</w:t>
            </w:r>
          </w:p>
        </w:tc>
        <w:tc>
          <w:tcPr>
            <w:tcW w:w="1223" w:type="dxa"/>
            <w:shd w:val="clear" w:color="auto" w:fill="auto"/>
            <w:vAlign w:val="top"/>
          </w:tcPr>
          <w:p w:rsidR="00644E3B" w:rsidRPr="00114B3E" w:rsidRDefault="00644E3B" w:rsidP="00616D8A">
            <w:pPr>
              <w:spacing w:after="60"/>
              <w:rPr>
                <w:b/>
              </w:rPr>
            </w:pPr>
            <w:r>
              <w:rPr>
                <w:b/>
              </w:rPr>
              <w:t xml:space="preserve">3,306 </w:t>
            </w:r>
          </w:p>
        </w:tc>
        <w:tc>
          <w:tcPr>
            <w:tcW w:w="1223" w:type="dxa"/>
            <w:shd w:val="clear" w:color="auto" w:fill="auto"/>
            <w:vAlign w:val="top"/>
          </w:tcPr>
          <w:p w:rsidR="00644E3B" w:rsidRPr="00114B3E" w:rsidRDefault="00644E3B" w:rsidP="00616D8A">
            <w:pPr>
              <w:spacing w:after="60"/>
              <w:rPr>
                <w:b/>
              </w:rPr>
            </w:pPr>
            <w:r>
              <w:rPr>
                <w:b/>
              </w:rPr>
              <w:t>2,940</w:t>
            </w:r>
            <w:r w:rsidRPr="00114B3E">
              <w:rPr>
                <w:b/>
              </w:rPr>
              <w:t xml:space="preserve"> </w:t>
            </w:r>
          </w:p>
        </w:tc>
        <w:tc>
          <w:tcPr>
            <w:tcW w:w="1221" w:type="dxa"/>
            <w:shd w:val="clear" w:color="auto" w:fill="auto"/>
            <w:vAlign w:val="top"/>
          </w:tcPr>
          <w:p w:rsidR="00644E3B" w:rsidRPr="00114B3E" w:rsidRDefault="00644E3B" w:rsidP="00616D8A">
            <w:pPr>
              <w:spacing w:after="60"/>
              <w:rPr>
                <w:b/>
              </w:rPr>
            </w:pPr>
            <w:r>
              <w:rPr>
                <w:b/>
              </w:rPr>
              <w:t>6,246</w:t>
            </w:r>
            <w:r w:rsidRPr="00114B3E">
              <w:rPr>
                <w:b/>
              </w:rPr>
              <w:t xml:space="preserve"> </w:t>
            </w:r>
          </w:p>
        </w:tc>
      </w:tr>
    </w:tbl>
    <w:p w:rsidR="00D43846" w:rsidRPr="00EC28F7" w:rsidRDefault="00D43846" w:rsidP="00D43846">
      <w:pPr>
        <w:rPr>
          <w:sz w:val="18"/>
        </w:rPr>
      </w:pPr>
      <w:r w:rsidRPr="00EC28F7">
        <w:rPr>
          <w:sz w:val="18"/>
        </w:rPr>
        <w:t>Source: NSW FACS 2016</w:t>
      </w:r>
    </w:p>
    <w:p w:rsidR="00D43846" w:rsidRPr="00D43846" w:rsidRDefault="00D43846" w:rsidP="00D43846"/>
    <w:p w:rsidR="00C741E7" w:rsidRDefault="00D43846" w:rsidP="00D43846">
      <w:pPr>
        <w:pStyle w:val="Appendix1"/>
      </w:pPr>
      <w:bookmarkStart w:id="241" w:name="_Toc467133539"/>
      <w:r>
        <w:lastRenderedPageBreak/>
        <w:t>Sources for Benefits</w:t>
      </w:r>
      <w:bookmarkEnd w:id="241"/>
    </w:p>
    <w:p w:rsidR="00D43846" w:rsidRDefault="00D43846" w:rsidP="00D43846"/>
    <w:p w:rsidR="00D43846" w:rsidRDefault="00D43846" w:rsidP="00D43846"/>
    <w:p w:rsidR="00D43846" w:rsidRDefault="00D43846" w:rsidP="00D43846">
      <w:pPr>
        <w:sectPr w:rsidR="00D43846" w:rsidSect="00C741E7">
          <w:footerReference w:type="even" r:id="rId32"/>
          <w:footerReference w:type="default" r:id="rId33"/>
          <w:pgSz w:w="11907" w:h="16840" w:code="9"/>
          <w:pgMar w:top="1134" w:right="1134" w:bottom="1418" w:left="1417" w:header="272" w:footer="340" w:gutter="0"/>
          <w:cols w:space="708"/>
          <w:docGrid w:linePitch="360"/>
        </w:sectPr>
      </w:pPr>
    </w:p>
    <w:p w:rsidR="00D43846" w:rsidRPr="00D43846" w:rsidRDefault="00D43846" w:rsidP="00D43846">
      <w:pPr>
        <w:pStyle w:val="Caption"/>
        <w:keepNext/>
        <w:rPr>
          <w:sz w:val="20"/>
          <w:szCs w:val="20"/>
        </w:rPr>
      </w:pPr>
      <w:bookmarkStart w:id="242" w:name="_Toc459038146"/>
      <w:bookmarkStart w:id="243" w:name="_Toc459200547"/>
      <w:bookmarkStart w:id="244" w:name="_Toc459204608"/>
      <w:bookmarkStart w:id="245" w:name="_Toc459204611"/>
      <w:bookmarkStart w:id="246" w:name="_Toc459276036"/>
      <w:bookmarkStart w:id="247" w:name="_Toc459302834"/>
      <w:bookmarkStart w:id="248" w:name="_Toc460335777"/>
      <w:bookmarkStart w:id="249" w:name="_Toc460420946"/>
      <w:bookmarkStart w:id="250" w:name="_Toc460421008"/>
      <w:bookmarkStart w:id="251" w:name="_Toc460421034"/>
      <w:bookmarkStart w:id="252" w:name="_Toc460421542"/>
      <w:bookmarkStart w:id="253" w:name="_Toc460421575"/>
      <w:bookmarkStart w:id="254" w:name="_Toc460421897"/>
      <w:bookmarkStart w:id="255" w:name="_Toc460421934"/>
      <w:bookmarkStart w:id="256" w:name="_Toc460422206"/>
      <w:bookmarkStart w:id="257" w:name="_Toc460422222"/>
      <w:bookmarkStart w:id="258" w:name="_Toc460422227"/>
      <w:bookmarkStart w:id="259" w:name="_Toc460422302"/>
      <w:bookmarkStart w:id="260" w:name="_Toc460422512"/>
      <w:bookmarkStart w:id="261" w:name="_Toc460422536"/>
      <w:bookmarkStart w:id="262" w:name="_Toc460422598"/>
      <w:bookmarkStart w:id="263" w:name="_Toc460422652"/>
      <w:bookmarkStart w:id="264" w:name="_Toc460422661"/>
      <w:bookmarkStart w:id="265" w:name="_Toc460485631"/>
      <w:bookmarkStart w:id="266" w:name="_Toc460500666"/>
      <w:bookmarkStart w:id="267" w:name="_Toc460500689"/>
      <w:bookmarkStart w:id="268" w:name="_Toc460503723"/>
      <w:bookmarkStart w:id="269" w:name="_Toc460503937"/>
      <w:bookmarkStart w:id="270" w:name="_Toc460503955"/>
      <w:bookmarkStart w:id="271" w:name="_Toc460504232"/>
      <w:bookmarkStart w:id="272" w:name="_Toc460504239"/>
      <w:bookmarkStart w:id="273" w:name="_Toc460504269"/>
      <w:bookmarkStart w:id="274" w:name="_Toc460504282"/>
      <w:bookmarkStart w:id="275" w:name="_Toc460504375"/>
      <w:bookmarkStart w:id="276" w:name="_Toc462836069"/>
      <w:bookmarkStart w:id="277" w:name="_Toc462998068"/>
      <w:bookmarkStart w:id="278" w:name="_Toc463002680"/>
      <w:bookmarkStart w:id="279" w:name="_Toc463002773"/>
      <w:bookmarkStart w:id="280" w:name="_Toc463002881"/>
      <w:bookmarkStart w:id="281" w:name="_Toc463003012"/>
      <w:bookmarkStart w:id="282" w:name="_Toc463951031"/>
      <w:bookmarkStart w:id="283" w:name="_Toc463951066"/>
      <w:bookmarkStart w:id="284" w:name="_Toc465259462"/>
      <w:bookmarkStart w:id="285" w:name="_Toc465259469"/>
      <w:bookmarkStart w:id="286" w:name="_Toc465259545"/>
      <w:bookmarkStart w:id="287" w:name="_Toc465259752"/>
      <w:bookmarkStart w:id="288" w:name="_Toc466025156"/>
      <w:bookmarkStart w:id="289" w:name="_Toc466037280"/>
      <w:bookmarkStart w:id="290" w:name="_Toc467137559"/>
      <w:r w:rsidRPr="00D43846">
        <w:rPr>
          <w:sz w:val="20"/>
          <w:szCs w:val="20"/>
        </w:rPr>
        <w:lastRenderedPageBreak/>
        <w:t xml:space="preserve">Table </w:t>
      </w:r>
      <w:r w:rsidRPr="00D43846">
        <w:rPr>
          <w:sz w:val="20"/>
          <w:szCs w:val="20"/>
        </w:rPr>
        <w:fldChar w:fldCharType="begin"/>
      </w:r>
      <w:r w:rsidRPr="00D43846">
        <w:rPr>
          <w:sz w:val="20"/>
          <w:szCs w:val="20"/>
        </w:rPr>
        <w:instrText xml:space="preserve"> STYLEREF  \s Appendix1 </w:instrText>
      </w:r>
      <w:r w:rsidRPr="00D43846">
        <w:rPr>
          <w:sz w:val="20"/>
          <w:szCs w:val="20"/>
        </w:rPr>
        <w:fldChar w:fldCharType="separate"/>
      </w:r>
      <w:r w:rsidRPr="00D43846">
        <w:rPr>
          <w:noProof/>
          <w:sz w:val="20"/>
          <w:szCs w:val="20"/>
        </w:rPr>
        <w:t>B</w:t>
      </w:r>
      <w:r w:rsidRPr="00D43846">
        <w:rPr>
          <w:noProof/>
          <w:sz w:val="20"/>
          <w:szCs w:val="20"/>
        </w:rPr>
        <w:fldChar w:fldCharType="end"/>
      </w:r>
      <w:r w:rsidRPr="00D43846">
        <w:rPr>
          <w:sz w:val="20"/>
          <w:szCs w:val="20"/>
        </w:rPr>
        <w:noBreakHyphen/>
      </w:r>
      <w:r w:rsidRPr="00D43846">
        <w:rPr>
          <w:sz w:val="20"/>
          <w:szCs w:val="20"/>
        </w:rPr>
        <w:fldChar w:fldCharType="begin"/>
      </w:r>
      <w:r w:rsidRPr="00D43846">
        <w:rPr>
          <w:sz w:val="20"/>
          <w:szCs w:val="20"/>
        </w:rPr>
        <w:instrText xml:space="preserve"> SEQ Table \* ARABIC \r 1 </w:instrText>
      </w:r>
      <w:r w:rsidRPr="00D43846">
        <w:rPr>
          <w:sz w:val="20"/>
          <w:szCs w:val="20"/>
        </w:rPr>
        <w:fldChar w:fldCharType="separate"/>
      </w:r>
      <w:r w:rsidRPr="00D43846">
        <w:rPr>
          <w:noProof/>
          <w:sz w:val="20"/>
          <w:szCs w:val="20"/>
        </w:rPr>
        <w:t>1</w:t>
      </w:r>
      <w:r w:rsidRPr="00D43846">
        <w:rPr>
          <w:noProof/>
          <w:sz w:val="20"/>
          <w:szCs w:val="20"/>
        </w:rPr>
        <w:fldChar w:fldCharType="end"/>
      </w:r>
      <w:r w:rsidRPr="00D43846">
        <w:rPr>
          <w:sz w:val="20"/>
          <w:szCs w:val="20"/>
        </w:rPr>
        <w:t xml:space="preserve"> – Sources for social and economic benefits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The source for each of the benefits applied"/>
      </w:tblPr>
      <w:tblGrid>
        <w:gridCol w:w="3018"/>
        <w:gridCol w:w="3356"/>
        <w:gridCol w:w="7701"/>
      </w:tblGrid>
      <w:tr w:rsidR="00D43846" w:rsidRPr="00EC28F7" w:rsidTr="00616D8A">
        <w:trPr>
          <w:cnfStyle w:val="100000000000" w:firstRow="1" w:lastRow="0" w:firstColumn="0" w:lastColumn="0" w:oddVBand="0" w:evenVBand="0" w:oddHBand="0" w:evenHBand="0" w:firstRowFirstColumn="0" w:firstRowLastColumn="0" w:lastRowFirstColumn="0" w:lastRowLastColumn="0"/>
          <w:tblHeader/>
        </w:trPr>
        <w:tc>
          <w:tcPr>
            <w:tcW w:w="30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EC28F7" w:rsidRDefault="00D43846" w:rsidP="00616D8A">
            <w:pPr>
              <w:spacing w:after="60"/>
              <w:rPr>
                <w:b/>
                <w:color w:val="auto"/>
              </w:rPr>
            </w:pPr>
            <w:bookmarkStart w:id="291" w:name="ColumnTitle_TableB_1"/>
            <w:bookmarkEnd w:id="291"/>
            <w:r w:rsidRPr="00EC28F7">
              <w:rPr>
                <w:b/>
                <w:color w:val="auto"/>
              </w:rPr>
              <w:t>Benefit</w:t>
            </w:r>
          </w:p>
        </w:tc>
        <w:tc>
          <w:tcPr>
            <w:tcW w:w="33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EC28F7" w:rsidRDefault="00D43846" w:rsidP="00616D8A">
            <w:pPr>
              <w:spacing w:after="60"/>
              <w:rPr>
                <w:b/>
                <w:color w:val="auto"/>
              </w:rPr>
            </w:pPr>
            <w:r w:rsidRPr="00EC28F7">
              <w:rPr>
                <w:b/>
                <w:color w:val="auto"/>
              </w:rPr>
              <w:t>Value</w:t>
            </w:r>
          </w:p>
        </w:tc>
        <w:tc>
          <w:tcPr>
            <w:tcW w:w="7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EC28F7" w:rsidRDefault="00D43846" w:rsidP="00616D8A">
            <w:pPr>
              <w:spacing w:after="60"/>
              <w:rPr>
                <w:b/>
                <w:color w:val="auto"/>
              </w:rPr>
            </w:pPr>
            <w:r w:rsidRPr="00EC28F7">
              <w:rPr>
                <w:b/>
                <w:color w:val="auto"/>
              </w:rPr>
              <w:t>Source</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Increased self-esteem</w:t>
            </w:r>
          </w:p>
        </w:tc>
        <w:tc>
          <w:tcPr>
            <w:tcW w:w="3356" w:type="dxa"/>
            <w:shd w:val="clear" w:color="auto" w:fill="auto"/>
            <w:vAlign w:val="top"/>
          </w:tcPr>
          <w:p w:rsidR="00D43846" w:rsidRPr="00EC28F7" w:rsidRDefault="00D43846" w:rsidP="00616D8A">
            <w:pPr>
              <w:spacing w:after="60"/>
            </w:pPr>
            <w:r w:rsidRPr="00EC28F7">
              <w:t>Average fee for clinical psychologist of $160.29, once per fortnight.</w:t>
            </w:r>
          </w:p>
          <w:p w:rsidR="00D43846" w:rsidRPr="00EC28F7" w:rsidRDefault="00D43846" w:rsidP="00616D8A">
            <w:pPr>
              <w:spacing w:after="60"/>
            </w:pPr>
            <w:r w:rsidRPr="00EC28F7">
              <w:t>Annual value: $4,168</w:t>
            </w:r>
          </w:p>
        </w:tc>
        <w:tc>
          <w:tcPr>
            <w:tcW w:w="7701" w:type="dxa"/>
            <w:shd w:val="clear" w:color="auto" w:fill="auto"/>
            <w:vAlign w:val="top"/>
          </w:tcPr>
          <w:p w:rsidR="00D43846" w:rsidRPr="00EC28F7" w:rsidRDefault="00D43846" w:rsidP="00616D8A">
            <w:pPr>
              <w:spacing w:after="60"/>
            </w:pPr>
            <w:r w:rsidRPr="00EC28F7">
              <w:t xml:space="preserve">Beyond Blue 2013, </w:t>
            </w:r>
            <w:r w:rsidRPr="00EC28F7">
              <w:rPr>
                <w:b/>
              </w:rPr>
              <w:t>Getting help – how much does it cost?</w:t>
            </w:r>
            <w:r w:rsidR="008A6772">
              <w:rPr>
                <w:b/>
              </w:rPr>
              <w:t xml:space="preserve"> You can view </w:t>
            </w:r>
            <w:hyperlink r:id="rId34" w:history="1">
              <w:r w:rsidR="00ED19B0">
                <w:rPr>
                  <w:rStyle w:val="Hyperlink"/>
                  <w:color w:val="auto"/>
                  <w:u w:val="single"/>
                </w:rPr>
                <w:t>Getting help – how much does it cost? http://resources.beyondblue.org.au/prism/file?token=BL/0114</w:t>
              </w:r>
            </w:hyperlink>
            <w:r w:rsidR="008A6772" w:rsidRPr="00ED19B0">
              <w:rPr>
                <w:rStyle w:val="Hyperlink"/>
                <w:color w:val="auto"/>
              </w:rPr>
              <w:t xml:space="preserve"> </w:t>
            </w:r>
            <w:r w:rsidRPr="00ED19B0">
              <w:t>viewed</w:t>
            </w:r>
            <w:r w:rsidRPr="00EC28F7">
              <w:t xml:space="preserve"> 27 July 2016</w:t>
            </w:r>
          </w:p>
        </w:tc>
      </w:tr>
      <w:tr w:rsidR="00D43846" w:rsidRPr="00EC28F7" w:rsidTr="00616D8A">
        <w:tc>
          <w:tcPr>
            <w:tcW w:w="3018" w:type="dxa"/>
            <w:vAlign w:val="top"/>
          </w:tcPr>
          <w:p w:rsidR="00D43846" w:rsidRPr="00EC28F7" w:rsidRDefault="00D43846" w:rsidP="00616D8A">
            <w:pPr>
              <w:spacing w:after="60"/>
            </w:pPr>
            <w:r w:rsidRPr="00EC28F7">
              <w:t>Improved personal well</w:t>
            </w:r>
            <w:r w:rsidRPr="00EC28F7">
              <w:noBreakHyphen/>
              <w:t>being</w:t>
            </w:r>
          </w:p>
        </w:tc>
        <w:tc>
          <w:tcPr>
            <w:tcW w:w="3356" w:type="dxa"/>
            <w:vAlign w:val="top"/>
          </w:tcPr>
          <w:p w:rsidR="00D43846" w:rsidRPr="00EC28F7" w:rsidRDefault="00D43846" w:rsidP="00616D8A">
            <w:pPr>
              <w:spacing w:after="60"/>
            </w:pPr>
            <w:r w:rsidRPr="00EC28F7">
              <w:t>Average fee for clinical psychologist of $160.29, once per fortnight.</w:t>
            </w:r>
          </w:p>
          <w:p w:rsidR="00D43846" w:rsidRPr="00EC28F7" w:rsidRDefault="00D43846" w:rsidP="00616D8A">
            <w:pPr>
              <w:spacing w:after="60"/>
            </w:pPr>
            <w:r w:rsidRPr="00EC28F7">
              <w:t>Annual value: $4,168</w:t>
            </w:r>
          </w:p>
        </w:tc>
        <w:tc>
          <w:tcPr>
            <w:tcW w:w="7701" w:type="dxa"/>
            <w:vAlign w:val="top"/>
          </w:tcPr>
          <w:p w:rsidR="00D43846" w:rsidRPr="00EC28F7" w:rsidRDefault="00D43846" w:rsidP="00616D8A">
            <w:pPr>
              <w:spacing w:after="60"/>
            </w:pPr>
            <w:r w:rsidRPr="00EC28F7">
              <w:t xml:space="preserve">Beyond Blue 2013, </w:t>
            </w:r>
            <w:r w:rsidRPr="00EC28F7">
              <w:rPr>
                <w:b/>
              </w:rPr>
              <w:t xml:space="preserve">Getting help – how much does it cost? </w:t>
            </w:r>
            <w:r w:rsidR="008A6772" w:rsidRPr="008A6772">
              <w:t xml:space="preserve">You can view </w:t>
            </w:r>
            <w:hyperlink r:id="rId35" w:history="1">
              <w:r w:rsidR="00ED19B0">
                <w:rPr>
                  <w:rStyle w:val="Hyperlink"/>
                  <w:color w:val="auto"/>
                  <w:u w:val="single"/>
                </w:rPr>
                <w:t>Getting help – how much does it cost? http://resources.beyondblue.org.au/prism/file?token=BL/0114</w:t>
              </w:r>
            </w:hyperlink>
            <w:r w:rsidR="008A6772">
              <w:t xml:space="preserve"> </w:t>
            </w:r>
            <w:r w:rsidRPr="00EC28F7">
              <w:t xml:space="preserve"> viewed 27 July 2016</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Improved social capital</w:t>
            </w:r>
          </w:p>
        </w:tc>
        <w:tc>
          <w:tcPr>
            <w:tcW w:w="3356" w:type="dxa"/>
            <w:shd w:val="clear" w:color="auto" w:fill="auto"/>
            <w:vAlign w:val="top"/>
          </w:tcPr>
          <w:p w:rsidR="00D43846" w:rsidRPr="00EC28F7" w:rsidRDefault="00D43846" w:rsidP="00616D8A">
            <w:pPr>
              <w:spacing w:after="60"/>
            </w:pPr>
            <w:r w:rsidRPr="00EC28F7">
              <w:t>Cost of participating in social group of $7.50, once per fortnight.</w:t>
            </w:r>
          </w:p>
          <w:p w:rsidR="00D43846" w:rsidRPr="00EC28F7" w:rsidRDefault="00D43846" w:rsidP="00616D8A">
            <w:pPr>
              <w:spacing w:after="60"/>
            </w:pPr>
            <w:r w:rsidRPr="00EC28F7">
              <w:t>Annual value: $4,168</w:t>
            </w:r>
          </w:p>
        </w:tc>
        <w:tc>
          <w:tcPr>
            <w:tcW w:w="7701" w:type="dxa"/>
            <w:shd w:val="clear" w:color="auto" w:fill="auto"/>
            <w:vAlign w:val="top"/>
          </w:tcPr>
          <w:p w:rsidR="00D43846" w:rsidRPr="00EC28F7" w:rsidRDefault="00D43846" w:rsidP="00616D8A">
            <w:pPr>
              <w:spacing w:after="60"/>
            </w:pPr>
            <w:r w:rsidRPr="00EC28F7">
              <w:t xml:space="preserve">Gateway Community Services 2016, </w:t>
            </w:r>
            <w:proofErr w:type="spellStart"/>
            <w:r w:rsidRPr="00EC28F7">
              <w:rPr>
                <w:b/>
              </w:rPr>
              <w:t>Brimbank</w:t>
            </w:r>
            <w:proofErr w:type="spellEnd"/>
            <w:r w:rsidRPr="00EC28F7">
              <w:rPr>
                <w:b/>
              </w:rPr>
              <w:t xml:space="preserve"> Out and About, </w:t>
            </w:r>
            <w:r w:rsidR="008A6772" w:rsidRPr="008A6772">
              <w:t xml:space="preserve">You can view </w:t>
            </w:r>
            <w:hyperlink r:id="rId36" w:anchor="!out-and-about/cvfn" w:history="1">
              <w:r w:rsidRPr="008A6772">
                <w:rPr>
                  <w:rStyle w:val="Hyperlink"/>
                  <w:color w:val="auto"/>
                  <w:u w:val="single"/>
                </w:rPr>
                <w:t>http://www.gatewaycommunityservices.org.au/#!out-and-about/cvfn</w:t>
              </w:r>
            </w:hyperlink>
            <w:r w:rsidR="008A6772">
              <w:t xml:space="preserve"> </w:t>
            </w:r>
            <w:r w:rsidRPr="00EC28F7">
              <w:t xml:space="preserve"> viewed 27 July 2016</w:t>
            </w:r>
          </w:p>
        </w:tc>
      </w:tr>
      <w:tr w:rsidR="00D43846" w:rsidRPr="00EC28F7" w:rsidTr="00616D8A">
        <w:tc>
          <w:tcPr>
            <w:tcW w:w="3018" w:type="dxa"/>
            <w:vAlign w:val="top"/>
          </w:tcPr>
          <w:p w:rsidR="00D43846" w:rsidRPr="00EC28F7" w:rsidRDefault="00D43846" w:rsidP="00616D8A">
            <w:pPr>
              <w:spacing w:after="60"/>
            </w:pPr>
            <w:r w:rsidRPr="00EC28F7">
              <w:t>Small business/entrepreneurial/grants information</w:t>
            </w:r>
          </w:p>
        </w:tc>
        <w:tc>
          <w:tcPr>
            <w:tcW w:w="3356" w:type="dxa"/>
            <w:vAlign w:val="top"/>
          </w:tcPr>
          <w:p w:rsidR="00D43846" w:rsidRPr="00EC28F7" w:rsidRDefault="00D43846" w:rsidP="00616D8A">
            <w:pPr>
              <w:spacing w:after="60"/>
            </w:pPr>
            <w:r w:rsidRPr="00EC28F7">
              <w:t xml:space="preserve">Total cost for 4 advisory sessions of 1 hour with NSW small business connect program – first two sessions free, </w:t>
            </w:r>
            <w:proofErr w:type="gramStart"/>
            <w:r w:rsidRPr="00EC28F7">
              <w:t>following two $50 each</w:t>
            </w:r>
            <w:proofErr w:type="gramEnd"/>
            <w:r w:rsidRPr="00EC28F7">
              <w:t>. Total cost $100</w:t>
            </w:r>
          </w:p>
        </w:tc>
        <w:tc>
          <w:tcPr>
            <w:tcW w:w="7701" w:type="dxa"/>
            <w:vAlign w:val="top"/>
          </w:tcPr>
          <w:p w:rsidR="00D43846" w:rsidRPr="00EC28F7" w:rsidRDefault="00D43846" w:rsidP="00616D8A">
            <w:pPr>
              <w:spacing w:after="60"/>
            </w:pPr>
            <w:r w:rsidRPr="00EC28F7">
              <w:t xml:space="preserve">Small Business Commissioner 2016, </w:t>
            </w:r>
            <w:r w:rsidRPr="00EC28F7">
              <w:rPr>
                <w:b/>
              </w:rPr>
              <w:t xml:space="preserve">Small Biz Connect, </w:t>
            </w:r>
            <w:r w:rsidR="008A6772">
              <w:rPr>
                <w:b/>
              </w:rPr>
              <w:t xml:space="preserve">you can view </w:t>
            </w:r>
            <w:hyperlink r:id="rId37" w:history="1">
              <w:r w:rsidR="00ED19B0">
                <w:rPr>
                  <w:rStyle w:val="Hyperlink"/>
                  <w:color w:val="auto"/>
                  <w:u w:val="single"/>
                </w:rPr>
                <w:t>Small Biz Connect http://www.smallbusiness.nsw.gov.au/supporting-business/small-biz-connect-advisory-program</w:t>
              </w:r>
            </w:hyperlink>
            <w:r w:rsidRPr="00EC28F7">
              <w:t xml:space="preserve"> viewed 27 July 2016</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Skills development support</w:t>
            </w:r>
          </w:p>
        </w:tc>
        <w:tc>
          <w:tcPr>
            <w:tcW w:w="3356" w:type="dxa"/>
            <w:shd w:val="clear" w:color="auto" w:fill="auto"/>
            <w:vAlign w:val="top"/>
          </w:tcPr>
          <w:p w:rsidR="00D43846" w:rsidRPr="00EC28F7" w:rsidRDefault="00D43846" w:rsidP="00616D8A">
            <w:pPr>
              <w:spacing w:after="60"/>
            </w:pPr>
            <w:r w:rsidRPr="00EC28F7">
              <w:t>Based on average commercial fee for preparing resume - $100</w:t>
            </w:r>
          </w:p>
        </w:tc>
        <w:tc>
          <w:tcPr>
            <w:tcW w:w="7701" w:type="dxa"/>
            <w:shd w:val="clear" w:color="auto" w:fill="auto"/>
            <w:vAlign w:val="top"/>
          </w:tcPr>
          <w:p w:rsidR="00D43846" w:rsidRPr="00EC28F7" w:rsidRDefault="00D43846" w:rsidP="00616D8A">
            <w:pPr>
              <w:spacing w:after="60"/>
            </w:pPr>
            <w:r w:rsidRPr="00EC28F7">
              <w:t>Market valuation for professional resume services – based on comparison of fees</w:t>
            </w:r>
          </w:p>
        </w:tc>
      </w:tr>
      <w:tr w:rsidR="00D43846" w:rsidRPr="00EC28F7" w:rsidTr="00616D8A">
        <w:tc>
          <w:tcPr>
            <w:tcW w:w="3018" w:type="dxa"/>
            <w:vAlign w:val="top"/>
          </w:tcPr>
          <w:p w:rsidR="00D43846" w:rsidRPr="00EC28F7" w:rsidRDefault="00D43846" w:rsidP="00616D8A">
            <w:pPr>
              <w:spacing w:after="60"/>
            </w:pPr>
            <w:r w:rsidRPr="00EC28F7">
              <w:t>Paid employment – 15 hrs per week</w:t>
            </w:r>
          </w:p>
        </w:tc>
        <w:tc>
          <w:tcPr>
            <w:tcW w:w="3356" w:type="dxa"/>
            <w:vAlign w:val="top"/>
          </w:tcPr>
          <w:p w:rsidR="00D43846" w:rsidRPr="00EC28F7" w:rsidRDefault="00D43846" w:rsidP="00616D8A">
            <w:pPr>
              <w:spacing w:after="60"/>
            </w:pPr>
            <w:r w:rsidRPr="00EC28F7">
              <w:t>Average hourly earnings of $29.46 for 15 hours a week, 46 weeks a year</w:t>
            </w:r>
          </w:p>
          <w:p w:rsidR="00D43846" w:rsidRPr="00EC28F7" w:rsidRDefault="00D43846" w:rsidP="00616D8A">
            <w:pPr>
              <w:spacing w:after="60"/>
            </w:pPr>
            <w:r w:rsidRPr="00EC28F7">
              <w:t>Annual value: $20,324</w:t>
            </w:r>
          </w:p>
        </w:tc>
        <w:tc>
          <w:tcPr>
            <w:tcW w:w="7701" w:type="dxa"/>
            <w:vAlign w:val="top"/>
          </w:tcPr>
          <w:p w:rsidR="00D43846" w:rsidRPr="00EC28F7" w:rsidRDefault="00D43846" w:rsidP="00616D8A">
            <w:pPr>
              <w:spacing w:after="60"/>
            </w:pPr>
            <w:r w:rsidRPr="00EC28F7">
              <w:t xml:space="preserve">ABS 2015, </w:t>
            </w:r>
            <w:r w:rsidRPr="00EC28F7">
              <w:rPr>
                <w:b/>
              </w:rPr>
              <w:t>Average Weekly Earnings Nov 2015 NSW</w:t>
            </w:r>
            <w:r w:rsidRPr="00EC28F7">
              <w:t>, cat. no. 6302.0, Table 12A</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Work experience - 15 hrs per week</w:t>
            </w:r>
          </w:p>
        </w:tc>
        <w:tc>
          <w:tcPr>
            <w:tcW w:w="3356" w:type="dxa"/>
            <w:shd w:val="clear" w:color="auto" w:fill="auto"/>
            <w:vAlign w:val="top"/>
          </w:tcPr>
          <w:p w:rsidR="00D43846" w:rsidRPr="00EC28F7" w:rsidRDefault="00D43846" w:rsidP="00616D8A">
            <w:pPr>
              <w:spacing w:after="60"/>
            </w:pPr>
            <w:r w:rsidRPr="00EC28F7">
              <w:t>Using minimum wage of $17.29 for 15 hours a week, 46 weeks a year</w:t>
            </w:r>
          </w:p>
          <w:p w:rsidR="00D43846" w:rsidRPr="00EC28F7" w:rsidRDefault="00D43846" w:rsidP="00616D8A">
            <w:pPr>
              <w:spacing w:after="60"/>
            </w:pPr>
            <w:r w:rsidRPr="00EC28F7">
              <w:t>Annual value: $11,930</w:t>
            </w:r>
          </w:p>
        </w:tc>
        <w:tc>
          <w:tcPr>
            <w:tcW w:w="7701" w:type="dxa"/>
            <w:shd w:val="clear" w:color="auto" w:fill="auto"/>
            <w:vAlign w:val="top"/>
          </w:tcPr>
          <w:p w:rsidR="00D43846" w:rsidRPr="00EC28F7" w:rsidRDefault="00D43846" w:rsidP="00616D8A">
            <w:pPr>
              <w:spacing w:after="60"/>
            </w:pPr>
            <w:r w:rsidRPr="00EC28F7">
              <w:t xml:space="preserve">Fair Work Ombudsman 2016, </w:t>
            </w:r>
            <w:r w:rsidRPr="00EC28F7">
              <w:rPr>
                <w:b/>
              </w:rPr>
              <w:t>Minimum wages,</w:t>
            </w:r>
            <w:r w:rsidR="008A6772">
              <w:rPr>
                <w:b/>
              </w:rPr>
              <w:t xml:space="preserve"> You can view </w:t>
            </w:r>
            <w:r w:rsidRPr="00EC28F7">
              <w:t xml:space="preserve"> </w:t>
            </w:r>
            <w:hyperlink r:id="rId38" w:anchor="current-national-minimum-wage" w:history="1">
              <w:r w:rsidRPr="008A6772">
                <w:rPr>
                  <w:rStyle w:val="Hyperlink"/>
                  <w:color w:val="auto"/>
                  <w:u w:val="single"/>
                </w:rPr>
                <w:t>https://www.fairwork.gov.au/how-we-will-help/templates-and-guides/fact-sheets/minimum-workplace-entitlements/minimum-wages#current-national-minimum-wage</w:t>
              </w:r>
            </w:hyperlink>
            <w:r w:rsidRPr="00EC28F7">
              <w:t xml:space="preserve"> viewed 27 July 2016</w:t>
            </w:r>
          </w:p>
        </w:tc>
      </w:tr>
      <w:tr w:rsidR="00D43846" w:rsidRPr="00EC28F7" w:rsidTr="00616D8A">
        <w:tc>
          <w:tcPr>
            <w:tcW w:w="3018" w:type="dxa"/>
            <w:vAlign w:val="top"/>
          </w:tcPr>
          <w:p w:rsidR="00D43846" w:rsidRPr="00EC28F7" w:rsidRDefault="00D43846" w:rsidP="00616D8A">
            <w:pPr>
              <w:spacing w:after="60"/>
            </w:pPr>
            <w:r w:rsidRPr="00EC28F7">
              <w:t>Volunteering – 2 hrs per week</w:t>
            </w:r>
          </w:p>
        </w:tc>
        <w:tc>
          <w:tcPr>
            <w:tcW w:w="3356" w:type="dxa"/>
            <w:vAlign w:val="top"/>
          </w:tcPr>
          <w:p w:rsidR="00D43846" w:rsidRPr="00EC28F7" w:rsidRDefault="00D43846" w:rsidP="00616D8A">
            <w:pPr>
              <w:spacing w:after="60"/>
            </w:pPr>
            <w:r w:rsidRPr="00EC28F7">
              <w:t>Using minimum wage of $17.29 for 2 hours a week, 46 weeks a year</w:t>
            </w:r>
          </w:p>
          <w:p w:rsidR="00D43846" w:rsidRPr="00EC28F7" w:rsidRDefault="00D43846" w:rsidP="00616D8A">
            <w:pPr>
              <w:spacing w:after="60"/>
            </w:pPr>
            <w:r w:rsidRPr="00EC28F7">
              <w:t>Annual value: $1,591</w:t>
            </w:r>
          </w:p>
        </w:tc>
        <w:tc>
          <w:tcPr>
            <w:tcW w:w="7701" w:type="dxa"/>
            <w:vAlign w:val="top"/>
          </w:tcPr>
          <w:p w:rsidR="00D43846" w:rsidRPr="00EC28F7" w:rsidRDefault="00D43846" w:rsidP="00616D8A">
            <w:pPr>
              <w:spacing w:after="60"/>
            </w:pPr>
            <w:r w:rsidRPr="00EC28F7">
              <w:t xml:space="preserve">Fair Work Ombudsman 2016, </w:t>
            </w:r>
            <w:r w:rsidRPr="00EC28F7">
              <w:rPr>
                <w:b/>
              </w:rPr>
              <w:t>Minimum wages</w:t>
            </w:r>
            <w:r w:rsidRPr="00EC28F7">
              <w:t>,</w:t>
            </w:r>
            <w:r w:rsidR="008A6772">
              <w:t xml:space="preserve"> you can view</w:t>
            </w:r>
            <w:r w:rsidRPr="00EC28F7">
              <w:t xml:space="preserve"> </w:t>
            </w:r>
            <w:hyperlink r:id="rId39" w:anchor="current-national-minimum-wage" w:history="1">
              <w:r w:rsidRPr="008A6772">
                <w:rPr>
                  <w:rStyle w:val="Hyperlink"/>
                  <w:color w:val="auto"/>
                  <w:u w:val="single"/>
                </w:rPr>
                <w:t>https://www.fairwork.gov.au/how-we-will-help/templates-and-guides/fact-sheets/minimum-workplace-entitlements/minimum-wages#current-national-minimum-wage</w:t>
              </w:r>
            </w:hyperlink>
            <w:r w:rsidRPr="00EC28F7">
              <w:t>, viewed 27 July 2016</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keepNext/>
              <w:spacing w:after="60"/>
            </w:pPr>
            <w:r w:rsidRPr="00EC28F7">
              <w:lastRenderedPageBreak/>
              <w:t>Incremental increase in lifetime earnings from completing TAFE course</w:t>
            </w:r>
          </w:p>
        </w:tc>
        <w:tc>
          <w:tcPr>
            <w:tcW w:w="3356" w:type="dxa"/>
            <w:shd w:val="clear" w:color="auto" w:fill="auto"/>
            <w:vAlign w:val="top"/>
          </w:tcPr>
          <w:p w:rsidR="00D43846" w:rsidRPr="00EC28F7" w:rsidRDefault="00D43846" w:rsidP="00616D8A">
            <w:pPr>
              <w:keepNext/>
              <w:spacing w:after="60"/>
            </w:pPr>
            <w:r w:rsidRPr="00EC28F7">
              <w:t>Assume completing TAFE only not University. Difference in lifetime earnings for someone who has completed TAFE over someone who has completed Year 12: $20,000</w:t>
            </w:r>
          </w:p>
        </w:tc>
        <w:tc>
          <w:tcPr>
            <w:tcW w:w="7701" w:type="dxa"/>
            <w:shd w:val="clear" w:color="auto" w:fill="auto"/>
            <w:vAlign w:val="top"/>
          </w:tcPr>
          <w:p w:rsidR="00D43846" w:rsidRPr="00EC28F7" w:rsidRDefault="00D43846" w:rsidP="00616D8A">
            <w:pPr>
              <w:keepNext/>
              <w:spacing w:after="60"/>
            </w:pPr>
            <w:r w:rsidRPr="00EC28F7">
              <w:t xml:space="preserve">NATSEM 2012, </w:t>
            </w:r>
            <w:r w:rsidRPr="00EC28F7">
              <w:rPr>
                <w:b/>
              </w:rPr>
              <w:t>Smart Australian: Education and Innovation in Australia,</w:t>
            </w:r>
            <w:r w:rsidRPr="00EC28F7">
              <w:rPr>
                <w:i/>
              </w:rPr>
              <w:t xml:space="preserve"> </w:t>
            </w:r>
            <w:r w:rsidRPr="00EC28F7">
              <w:t>Figure 24</w:t>
            </w:r>
          </w:p>
        </w:tc>
      </w:tr>
      <w:tr w:rsidR="00D43846" w:rsidRPr="00EC28F7" w:rsidTr="00616D8A">
        <w:tc>
          <w:tcPr>
            <w:tcW w:w="3018" w:type="dxa"/>
            <w:vAlign w:val="top"/>
          </w:tcPr>
          <w:p w:rsidR="00D43846" w:rsidRPr="00EC28F7" w:rsidRDefault="00D43846" w:rsidP="00616D8A">
            <w:pPr>
              <w:spacing w:after="60"/>
            </w:pPr>
            <w:r w:rsidRPr="00EC28F7">
              <w:t>Economic value of training activity</w:t>
            </w:r>
          </w:p>
        </w:tc>
        <w:tc>
          <w:tcPr>
            <w:tcW w:w="3356" w:type="dxa"/>
            <w:vAlign w:val="top"/>
          </w:tcPr>
          <w:p w:rsidR="00D43846" w:rsidRPr="00EC28F7" w:rsidRDefault="00D43846" w:rsidP="00616D8A">
            <w:pPr>
              <w:spacing w:after="60"/>
            </w:pPr>
            <w:r w:rsidRPr="00EC28F7">
              <w:t>Valued at cost of one-day introductory computing course: $329</w:t>
            </w:r>
          </w:p>
        </w:tc>
        <w:tc>
          <w:tcPr>
            <w:tcW w:w="7701" w:type="dxa"/>
            <w:vAlign w:val="top"/>
          </w:tcPr>
          <w:p w:rsidR="00D43846" w:rsidRPr="00EC28F7" w:rsidRDefault="00D43846" w:rsidP="00616D8A">
            <w:pPr>
              <w:spacing w:after="60"/>
            </w:pPr>
            <w:r w:rsidRPr="00EC28F7">
              <w:t xml:space="preserve">University of Sydney 2016, </w:t>
            </w:r>
            <w:r w:rsidRPr="00EC28F7">
              <w:rPr>
                <w:b/>
              </w:rPr>
              <w:t xml:space="preserve">Computer Basics Courses, </w:t>
            </w:r>
            <w:r w:rsidR="008A6772" w:rsidRPr="008A6772">
              <w:t xml:space="preserve">you can view </w:t>
            </w:r>
            <w:hyperlink r:id="rId40" w:history="1">
              <w:r w:rsidR="00ED19B0">
                <w:rPr>
                  <w:rStyle w:val="Hyperlink"/>
                  <w:color w:val="auto"/>
                  <w:u w:val="single"/>
                </w:rPr>
                <w:t>Computer Basics Courses https://cce.sydney.edu.au/courses/information-technology/computer-basics</w:t>
              </w:r>
            </w:hyperlink>
            <w:r w:rsidRPr="00EC28F7">
              <w:t>, viewed 28 July 2016</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Reduction in search costs</w:t>
            </w:r>
          </w:p>
        </w:tc>
        <w:tc>
          <w:tcPr>
            <w:tcW w:w="3356" w:type="dxa"/>
            <w:shd w:val="clear" w:color="auto" w:fill="auto"/>
            <w:vAlign w:val="top"/>
          </w:tcPr>
          <w:p w:rsidR="00D43846" w:rsidRPr="00EC28F7" w:rsidRDefault="00D43846" w:rsidP="00616D8A">
            <w:pPr>
              <w:spacing w:after="60"/>
            </w:pPr>
            <w:r w:rsidRPr="00EC28F7">
              <w:t>Valued at minimum wage of $17.29 for 1 hour per week</w:t>
            </w:r>
          </w:p>
          <w:p w:rsidR="00D43846" w:rsidRPr="00EC28F7" w:rsidRDefault="00D43846" w:rsidP="00616D8A">
            <w:pPr>
              <w:spacing w:after="60"/>
            </w:pPr>
            <w:r w:rsidRPr="00EC28F7">
              <w:t>Annual value: $795</w:t>
            </w:r>
          </w:p>
        </w:tc>
        <w:tc>
          <w:tcPr>
            <w:tcW w:w="7701" w:type="dxa"/>
            <w:shd w:val="clear" w:color="auto" w:fill="auto"/>
            <w:vAlign w:val="top"/>
          </w:tcPr>
          <w:p w:rsidR="00D43846" w:rsidRPr="00EC28F7" w:rsidRDefault="00D43846" w:rsidP="00616D8A">
            <w:pPr>
              <w:spacing w:after="60"/>
            </w:pPr>
            <w:r w:rsidRPr="00EC28F7">
              <w:t xml:space="preserve">Fair Work Ombudsman 2016, </w:t>
            </w:r>
            <w:r w:rsidRPr="00EC28F7">
              <w:rPr>
                <w:b/>
              </w:rPr>
              <w:t>Minimum wages,</w:t>
            </w:r>
            <w:r w:rsidR="008A6772">
              <w:rPr>
                <w:b/>
              </w:rPr>
              <w:t xml:space="preserve"> </w:t>
            </w:r>
            <w:r w:rsidR="008A6772" w:rsidRPr="008A6772">
              <w:t>you can view</w:t>
            </w:r>
            <w:r w:rsidRPr="008A6772">
              <w:t xml:space="preserve"> </w:t>
            </w:r>
            <w:hyperlink r:id="rId41" w:anchor="current-national-minimum-wage" w:history="1">
              <w:r w:rsidRPr="008A6772">
                <w:rPr>
                  <w:rStyle w:val="Hyperlink"/>
                  <w:color w:val="auto"/>
                  <w:u w:val="single"/>
                </w:rPr>
                <w:t>https://www.fairwork.gov.au/how-we-will-help/templates-and-guides/fact-sheets/minimum-workplace-entitlements/minimum-wages#current-national-minimum-wage</w:t>
              </w:r>
            </w:hyperlink>
            <w:r w:rsidRPr="00EC28F7">
              <w:t>, viewed 27 July 2016</w:t>
            </w:r>
          </w:p>
        </w:tc>
      </w:tr>
      <w:tr w:rsidR="00D43846" w:rsidRPr="00EC28F7" w:rsidTr="00616D8A">
        <w:tc>
          <w:tcPr>
            <w:tcW w:w="3018" w:type="dxa"/>
            <w:vAlign w:val="top"/>
          </w:tcPr>
          <w:p w:rsidR="00D43846" w:rsidRPr="00EC28F7" w:rsidRDefault="00D43846" w:rsidP="00616D8A">
            <w:pPr>
              <w:spacing w:after="60"/>
            </w:pPr>
            <w:r w:rsidRPr="00EC28F7">
              <w:t>Increase in consumer welfare</w:t>
            </w:r>
          </w:p>
        </w:tc>
        <w:tc>
          <w:tcPr>
            <w:tcW w:w="3356" w:type="dxa"/>
            <w:vAlign w:val="top"/>
          </w:tcPr>
          <w:p w:rsidR="00D43846" w:rsidRPr="00EC28F7" w:rsidRDefault="00D43846" w:rsidP="00616D8A">
            <w:pPr>
              <w:spacing w:after="60"/>
            </w:pPr>
            <w:r w:rsidRPr="00EC28F7">
              <w:t>Valued at average hourly earnings of $29.46 for 4 hours per week</w:t>
            </w:r>
          </w:p>
          <w:p w:rsidR="00D43846" w:rsidRPr="00EC28F7" w:rsidRDefault="00D43846" w:rsidP="00616D8A">
            <w:pPr>
              <w:spacing w:after="60"/>
            </w:pPr>
            <w:r w:rsidRPr="00EC28F7">
              <w:t>Annual value: $5,421</w:t>
            </w:r>
          </w:p>
        </w:tc>
        <w:tc>
          <w:tcPr>
            <w:tcW w:w="7701" w:type="dxa"/>
            <w:vAlign w:val="top"/>
          </w:tcPr>
          <w:p w:rsidR="00D43846" w:rsidRPr="00EC28F7" w:rsidRDefault="00D43846" w:rsidP="00616D8A">
            <w:pPr>
              <w:spacing w:after="60"/>
            </w:pPr>
            <w:r w:rsidRPr="00EC28F7">
              <w:t xml:space="preserve">ABS 2015, </w:t>
            </w:r>
            <w:r w:rsidRPr="00EC28F7">
              <w:rPr>
                <w:b/>
              </w:rPr>
              <w:t>Average Weekly Earnings Nov 2015 NSW,</w:t>
            </w:r>
            <w:r w:rsidRPr="00EC28F7">
              <w:t xml:space="preserve"> cat. no. 6302.0, Table 12A</w:t>
            </w:r>
          </w:p>
        </w:tc>
      </w:tr>
      <w:tr w:rsidR="00D43846" w:rsidRPr="00EC28F7" w:rsidTr="00616D8A">
        <w:trPr>
          <w:cnfStyle w:val="000000100000" w:firstRow="0" w:lastRow="0" w:firstColumn="0" w:lastColumn="0" w:oddVBand="0" w:evenVBand="0" w:oddHBand="1" w:evenHBand="0" w:firstRowFirstColumn="0" w:firstRowLastColumn="0" w:lastRowFirstColumn="0" w:lastRowLastColumn="0"/>
        </w:trPr>
        <w:tc>
          <w:tcPr>
            <w:tcW w:w="3018" w:type="dxa"/>
            <w:shd w:val="clear" w:color="auto" w:fill="auto"/>
            <w:vAlign w:val="top"/>
          </w:tcPr>
          <w:p w:rsidR="00D43846" w:rsidRPr="00EC28F7" w:rsidRDefault="00D43846" w:rsidP="00616D8A">
            <w:pPr>
              <w:spacing w:after="60"/>
            </w:pPr>
            <w:r w:rsidRPr="00EC28F7">
              <w:t>Percentage ALNSW participants receiving an increase in consumer welfare</w:t>
            </w:r>
          </w:p>
        </w:tc>
        <w:tc>
          <w:tcPr>
            <w:tcW w:w="3356" w:type="dxa"/>
            <w:shd w:val="clear" w:color="auto" w:fill="auto"/>
            <w:vAlign w:val="top"/>
          </w:tcPr>
          <w:p w:rsidR="00D43846" w:rsidRPr="00EC28F7" w:rsidRDefault="00D43846" w:rsidP="00616D8A">
            <w:pPr>
              <w:spacing w:after="60"/>
            </w:pPr>
            <w:r w:rsidRPr="00EC28F7">
              <w:t>For ALNSW, it was assumed that 22%.1 of the 55% participants who had reduced reliance on family care had a primary carer, based on ABS Survey of Disability, Ageing and Carers</w:t>
            </w:r>
          </w:p>
        </w:tc>
        <w:tc>
          <w:tcPr>
            <w:tcW w:w="7701" w:type="dxa"/>
            <w:shd w:val="clear" w:color="auto" w:fill="auto"/>
            <w:vAlign w:val="top"/>
          </w:tcPr>
          <w:p w:rsidR="00D43846" w:rsidRPr="00EC28F7" w:rsidRDefault="00D43846" w:rsidP="00616D8A">
            <w:pPr>
              <w:spacing w:after="60"/>
            </w:pPr>
            <w:r w:rsidRPr="00EC28F7">
              <w:t>ABS 2014,</w:t>
            </w:r>
            <w:r w:rsidRPr="00EC28F7">
              <w:rPr>
                <w:b/>
              </w:rPr>
              <w:t xml:space="preserve"> Disability, Ageing and Carers, Australia: NSW 2012,</w:t>
            </w:r>
            <w:r w:rsidRPr="00EC28F7">
              <w:rPr>
                <w:i/>
              </w:rPr>
              <w:t xml:space="preserve"> </w:t>
            </w:r>
            <w:r w:rsidRPr="00EC28F7">
              <w:t>cat. no. 4430.0, Table 35</w:t>
            </w:r>
          </w:p>
        </w:tc>
      </w:tr>
    </w:tbl>
    <w:p w:rsidR="00D43846" w:rsidRDefault="00D43846" w:rsidP="00D43846"/>
    <w:p w:rsidR="00D43846" w:rsidRDefault="00D43846" w:rsidP="00D43846"/>
    <w:p w:rsidR="00D43846" w:rsidRDefault="00D43846" w:rsidP="00D43846">
      <w:pPr>
        <w:pStyle w:val="Appendix1"/>
        <w:sectPr w:rsidR="00D43846" w:rsidSect="00D43846">
          <w:footerReference w:type="even" r:id="rId42"/>
          <w:footerReference w:type="default" r:id="rId43"/>
          <w:pgSz w:w="16840" w:h="11907" w:orient="landscape" w:code="9"/>
          <w:pgMar w:top="1417" w:right="1134" w:bottom="1134" w:left="1418" w:header="272" w:footer="340" w:gutter="0"/>
          <w:cols w:space="708"/>
          <w:docGrid w:linePitch="360"/>
        </w:sectPr>
      </w:pPr>
    </w:p>
    <w:p w:rsidR="00D43846" w:rsidRPr="00D43846" w:rsidRDefault="00D43846" w:rsidP="00D43846">
      <w:pPr>
        <w:pStyle w:val="Appendix1"/>
      </w:pPr>
      <w:bookmarkStart w:id="292" w:name="_Toc467133540"/>
      <w:r>
        <w:lastRenderedPageBreak/>
        <w:t>Sensitivity Analysis</w:t>
      </w:r>
      <w:bookmarkEnd w:id="292"/>
    </w:p>
    <w:p w:rsidR="0069578E" w:rsidRDefault="0069578E">
      <w:pPr>
        <w:spacing w:before="0" w:after="0"/>
      </w:pPr>
      <w:r>
        <w:br w:type="page"/>
      </w:r>
    </w:p>
    <w:p w:rsidR="00D43846" w:rsidRDefault="00D43846" w:rsidP="00D43846">
      <w:r>
        <w:lastRenderedPageBreak/>
        <w:t>The following section details the sensitivity analysis undertaken on CBA results – notably using a 4% and 10% discount rate to produce NPVs. A discount rate of 4%</w:t>
      </w:r>
      <w:r w:rsidR="00B03354">
        <w:t xml:space="preserve"> is</w:t>
      </w:r>
      <w:r>
        <w:t xml:space="preserve"> likely </w:t>
      </w:r>
      <w:proofErr w:type="gramStart"/>
      <w:r>
        <w:t>overstate</w:t>
      </w:r>
      <w:proofErr w:type="gramEnd"/>
      <w:r>
        <w:t xml:space="preserve"> benefits, while a 10% discount rate tends to underestimate. Sensitivity analysis is used to test the robustness of results.</w:t>
      </w:r>
    </w:p>
    <w:p w:rsidR="00D43846" w:rsidRDefault="00D43846" w:rsidP="00D43846">
      <w:r>
        <w:t xml:space="preserve">As can be seen in the tables </w:t>
      </w:r>
      <w:r w:rsidR="00963F4C">
        <w:t>following</w:t>
      </w:r>
      <w:r>
        <w:t>, changing the discount rate from 7% does not significantly alter the net benefits or BCRs. At a 4% discount rate the net benefit accrued across both programs only increased by 3.1% - from $85.12 million at a 7% discount rate to $87.76 million at 4%. At a 10% discount rate, the net benefit across both programs dropped by 2.6% compared to at a 7% discount rate, to $82.93 million.</w:t>
      </w:r>
    </w:p>
    <w:p w:rsidR="00D43846" w:rsidRDefault="00D43846" w:rsidP="00D43846">
      <w:r>
        <w:t>BCRs across all discount rates vary by a maximum of 0.2.</w:t>
      </w:r>
    </w:p>
    <w:p w:rsidR="00D43846" w:rsidRDefault="00D43846" w:rsidP="00D43846">
      <w:r>
        <w:fldChar w:fldCharType="begin"/>
      </w:r>
      <w:r>
        <w:instrText xml:space="preserve"> REF _Ref460422291 \h </w:instrText>
      </w:r>
      <w:r>
        <w:fldChar w:fldCharType="separate"/>
      </w:r>
      <w:proofErr w:type="gramStart"/>
      <w:r w:rsidR="00B03354" w:rsidRPr="00D43846">
        <w:t>Table</w:t>
      </w:r>
      <w:r w:rsidR="00B03354">
        <w:t>s</w:t>
      </w:r>
      <w:r w:rsidR="00B03354" w:rsidRPr="00D43846">
        <w:t xml:space="preserve"> </w:t>
      </w:r>
      <w:r w:rsidR="00B03354" w:rsidRPr="00D43846">
        <w:rPr>
          <w:noProof/>
        </w:rPr>
        <w:t>C</w:t>
      </w:r>
      <w:r w:rsidR="00B03354" w:rsidRPr="00D43846">
        <w:noBreakHyphen/>
      </w:r>
      <w:r w:rsidR="00B03354" w:rsidRPr="00D43846">
        <w:rPr>
          <w:noProof/>
        </w:rPr>
        <w:t>1</w:t>
      </w:r>
      <w:r>
        <w:fldChar w:fldCharType="end"/>
      </w:r>
      <w:r>
        <w:t xml:space="preserve"> outlines CBA results with a 4% discount rate.</w:t>
      </w:r>
      <w:proofErr w:type="gramEnd"/>
      <w:r>
        <w:t xml:space="preserve"> Of significance, the BCR for ALNSW with only economic benefits becomes one – meaning the benefits of the program are equal to the cost.</w:t>
      </w:r>
    </w:p>
    <w:p w:rsidR="00D43846" w:rsidRPr="00D43846" w:rsidRDefault="00D43846" w:rsidP="00D43846">
      <w:pPr>
        <w:pStyle w:val="Caption"/>
        <w:rPr>
          <w:sz w:val="20"/>
          <w:szCs w:val="20"/>
        </w:rPr>
      </w:pPr>
      <w:bookmarkStart w:id="293" w:name="_Ref460344580"/>
      <w:bookmarkStart w:id="294" w:name="_Ref460422291"/>
      <w:bookmarkStart w:id="295" w:name="_Toc460420947"/>
      <w:bookmarkStart w:id="296" w:name="_Toc460421009"/>
      <w:bookmarkStart w:id="297" w:name="_Toc460421035"/>
      <w:bookmarkStart w:id="298" w:name="_Toc460421543"/>
      <w:bookmarkStart w:id="299" w:name="_Toc460421576"/>
      <w:bookmarkStart w:id="300" w:name="_Toc460421898"/>
      <w:bookmarkStart w:id="301" w:name="_Toc460421935"/>
      <w:bookmarkStart w:id="302" w:name="_Toc460422207"/>
      <w:bookmarkStart w:id="303" w:name="_Toc460422223"/>
      <w:bookmarkStart w:id="304" w:name="_Toc460422228"/>
      <w:bookmarkStart w:id="305" w:name="_Toc460422303"/>
      <w:bookmarkStart w:id="306" w:name="_Toc460422513"/>
      <w:bookmarkStart w:id="307" w:name="_Toc460422537"/>
      <w:bookmarkStart w:id="308" w:name="_Toc460422599"/>
      <w:bookmarkStart w:id="309" w:name="_Toc460422653"/>
      <w:bookmarkStart w:id="310" w:name="_Toc460422662"/>
      <w:bookmarkStart w:id="311" w:name="_Toc460485632"/>
      <w:bookmarkStart w:id="312" w:name="_Toc460500667"/>
      <w:bookmarkStart w:id="313" w:name="_Toc460500690"/>
      <w:bookmarkStart w:id="314" w:name="_Toc460503724"/>
      <w:bookmarkStart w:id="315" w:name="_Toc460503938"/>
      <w:bookmarkStart w:id="316" w:name="_Toc460503956"/>
      <w:bookmarkStart w:id="317" w:name="_Toc460504233"/>
      <w:bookmarkStart w:id="318" w:name="_Toc460504240"/>
      <w:bookmarkStart w:id="319" w:name="_Toc460504270"/>
      <w:bookmarkStart w:id="320" w:name="_Toc460504283"/>
      <w:bookmarkStart w:id="321" w:name="_Toc460504376"/>
      <w:bookmarkStart w:id="322" w:name="_Toc462836070"/>
      <w:bookmarkStart w:id="323" w:name="_Toc462998069"/>
      <w:bookmarkStart w:id="324" w:name="_Toc463002681"/>
      <w:bookmarkStart w:id="325" w:name="_Toc463002774"/>
      <w:bookmarkStart w:id="326" w:name="_Toc463002882"/>
      <w:bookmarkStart w:id="327" w:name="_Toc463003013"/>
      <w:bookmarkStart w:id="328" w:name="_Toc463951032"/>
      <w:bookmarkStart w:id="329" w:name="_Toc463951067"/>
      <w:bookmarkStart w:id="330" w:name="_Toc465259463"/>
      <w:bookmarkStart w:id="331" w:name="_Toc465259470"/>
      <w:bookmarkStart w:id="332" w:name="_Toc465259546"/>
      <w:bookmarkStart w:id="333" w:name="_Toc465259753"/>
      <w:bookmarkStart w:id="334" w:name="_Toc466025157"/>
      <w:bookmarkStart w:id="335" w:name="_Toc466037281"/>
      <w:bookmarkStart w:id="336" w:name="_Toc467137560"/>
      <w:r w:rsidRPr="00D43846">
        <w:rPr>
          <w:sz w:val="20"/>
          <w:szCs w:val="20"/>
        </w:rPr>
        <w:t>Table</w:t>
      </w:r>
      <w:r w:rsidR="00B03354">
        <w:rPr>
          <w:sz w:val="20"/>
          <w:szCs w:val="20"/>
        </w:rPr>
        <w:t>s</w:t>
      </w:r>
      <w:r w:rsidRPr="00D43846">
        <w:rPr>
          <w:sz w:val="20"/>
          <w:szCs w:val="20"/>
        </w:rPr>
        <w:t xml:space="preserve"> </w:t>
      </w:r>
      <w:r w:rsidRPr="00D43846">
        <w:rPr>
          <w:sz w:val="20"/>
          <w:szCs w:val="20"/>
        </w:rPr>
        <w:fldChar w:fldCharType="begin"/>
      </w:r>
      <w:r w:rsidRPr="00D43846">
        <w:rPr>
          <w:sz w:val="20"/>
          <w:szCs w:val="20"/>
        </w:rPr>
        <w:instrText xml:space="preserve"> STYLEREF  \s Appendix1 </w:instrText>
      </w:r>
      <w:r w:rsidRPr="00D43846">
        <w:rPr>
          <w:sz w:val="20"/>
          <w:szCs w:val="20"/>
        </w:rPr>
        <w:fldChar w:fldCharType="separate"/>
      </w:r>
      <w:r w:rsidRPr="00D43846">
        <w:rPr>
          <w:noProof/>
          <w:sz w:val="20"/>
          <w:szCs w:val="20"/>
        </w:rPr>
        <w:t>C</w:t>
      </w:r>
      <w:r w:rsidRPr="00D43846">
        <w:rPr>
          <w:noProof/>
          <w:sz w:val="20"/>
          <w:szCs w:val="20"/>
        </w:rPr>
        <w:fldChar w:fldCharType="end"/>
      </w:r>
      <w:r w:rsidRPr="00D43846">
        <w:rPr>
          <w:sz w:val="20"/>
          <w:szCs w:val="20"/>
        </w:rPr>
        <w:noBreakHyphen/>
      </w:r>
      <w:bookmarkEnd w:id="293"/>
      <w:r w:rsidRPr="00D43846">
        <w:rPr>
          <w:sz w:val="20"/>
          <w:szCs w:val="20"/>
        </w:rPr>
        <w:fldChar w:fldCharType="begin"/>
      </w:r>
      <w:r w:rsidRPr="00D43846">
        <w:rPr>
          <w:sz w:val="20"/>
          <w:szCs w:val="20"/>
        </w:rPr>
        <w:instrText xml:space="preserve"> SEQ Table \* ARABIC \r 1 </w:instrText>
      </w:r>
      <w:r w:rsidRPr="00D43846">
        <w:rPr>
          <w:sz w:val="20"/>
          <w:szCs w:val="20"/>
        </w:rPr>
        <w:fldChar w:fldCharType="separate"/>
      </w:r>
      <w:r w:rsidRPr="00D43846">
        <w:rPr>
          <w:noProof/>
          <w:sz w:val="20"/>
          <w:szCs w:val="20"/>
        </w:rPr>
        <w:t>1</w:t>
      </w:r>
      <w:r w:rsidRPr="00D43846">
        <w:rPr>
          <w:sz w:val="20"/>
          <w:szCs w:val="20"/>
        </w:rPr>
        <w:fldChar w:fldCharType="end"/>
      </w:r>
      <w:bookmarkEnd w:id="294"/>
      <w:r w:rsidRPr="00D43846">
        <w:rPr>
          <w:sz w:val="20"/>
          <w:szCs w:val="20"/>
        </w:rPr>
        <w:t xml:space="preserve"> – CBA results with 4% discount rate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00D572B6" w:rsidRPr="00D572B6">
        <w:rPr>
          <w:sz w:val="20"/>
          <w:szCs w:val="20"/>
        </w:rPr>
        <w:t xml:space="preserve"> (NPV, $ million)</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CBA results for ALNSW and ELNSW with a 4% discount rate"/>
      </w:tblPr>
      <w:tblGrid>
        <w:gridCol w:w="3095"/>
        <w:gridCol w:w="2159"/>
        <w:gridCol w:w="2159"/>
        <w:gridCol w:w="2159"/>
      </w:tblGrid>
      <w:tr w:rsidR="00D43846" w:rsidTr="000F2E6C">
        <w:trPr>
          <w:cnfStyle w:val="100000000000" w:firstRow="1" w:lastRow="0" w:firstColumn="0" w:lastColumn="0" w:oddVBand="0" w:evenVBand="0" w:oddHBand="0" w:evenHBand="0" w:firstRowFirstColumn="0" w:firstRowLastColumn="0" w:lastRowFirstColumn="0" w:lastRowLastColumn="0"/>
          <w:tblHeader/>
        </w:trPr>
        <w:tc>
          <w:tcPr>
            <w:tcW w:w="3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Default="00D572B6" w:rsidP="00D803EE">
            <w:pPr>
              <w:spacing w:after="60"/>
            </w:pPr>
            <w:bookmarkStart w:id="337" w:name="ColumnTitle_TableC_1_header"/>
            <w:r w:rsidRPr="00D572B6">
              <w:rPr>
                <w:b/>
                <w:color w:val="auto"/>
              </w:rPr>
              <w:t>Item</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43846" w:rsidRDefault="00D43846" w:rsidP="00D803EE">
            <w:pPr>
              <w:spacing w:after="60"/>
              <w:rPr>
                <w:b/>
                <w:color w:val="auto"/>
              </w:rPr>
            </w:pPr>
            <w:r w:rsidRPr="00D43846">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43846" w:rsidRDefault="00D43846" w:rsidP="00D803EE">
            <w:pPr>
              <w:spacing w:after="60"/>
              <w:rPr>
                <w:b/>
                <w:color w:val="auto"/>
              </w:rPr>
            </w:pPr>
            <w:r w:rsidRPr="00D43846">
              <w:rPr>
                <w:b/>
                <w:color w:val="auto"/>
              </w:rPr>
              <w:t>ELNSW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43846" w:rsidRDefault="00D43846" w:rsidP="00D803EE">
            <w:pPr>
              <w:spacing w:after="60"/>
              <w:rPr>
                <w:b/>
                <w:color w:val="auto"/>
              </w:rPr>
            </w:pPr>
            <w:r w:rsidRPr="00D43846">
              <w:rPr>
                <w:b/>
                <w:color w:val="auto"/>
              </w:rPr>
              <w:t>Total</w:t>
            </w:r>
          </w:p>
        </w:tc>
      </w:tr>
      <w:bookmarkEnd w:id="337"/>
      <w:tr w:rsidR="00D43846" w:rsidTr="00D803EE">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Default="00D43846" w:rsidP="00D803EE">
            <w:pPr>
              <w:spacing w:after="60"/>
            </w:pPr>
            <w:r>
              <w:t xml:space="preserve">Economic benefits </w:t>
            </w:r>
          </w:p>
        </w:tc>
        <w:tc>
          <w:tcPr>
            <w:tcW w:w="2159" w:type="dxa"/>
            <w:shd w:val="clear" w:color="auto" w:fill="auto"/>
            <w:vAlign w:val="top"/>
          </w:tcPr>
          <w:p w:rsidR="00D43846" w:rsidRDefault="00D43846" w:rsidP="00D803EE">
            <w:pPr>
              <w:spacing w:after="60"/>
            </w:pPr>
            <w:r>
              <w:t>31.79</w:t>
            </w:r>
          </w:p>
        </w:tc>
        <w:tc>
          <w:tcPr>
            <w:tcW w:w="2159" w:type="dxa"/>
            <w:shd w:val="clear" w:color="auto" w:fill="auto"/>
            <w:vAlign w:val="top"/>
          </w:tcPr>
          <w:p w:rsidR="00D43846" w:rsidRDefault="00D43846" w:rsidP="00D803EE">
            <w:pPr>
              <w:spacing w:after="60"/>
            </w:pPr>
            <w:r>
              <w:t>16.28</w:t>
            </w:r>
          </w:p>
        </w:tc>
        <w:tc>
          <w:tcPr>
            <w:tcW w:w="2159" w:type="dxa"/>
            <w:shd w:val="clear" w:color="auto" w:fill="auto"/>
            <w:vAlign w:val="top"/>
          </w:tcPr>
          <w:p w:rsidR="00D43846" w:rsidRDefault="00D43846" w:rsidP="00D803EE">
            <w:pPr>
              <w:spacing w:after="60"/>
            </w:pPr>
            <w:r>
              <w:t>48.01</w:t>
            </w:r>
          </w:p>
        </w:tc>
      </w:tr>
      <w:tr w:rsidR="00D43846" w:rsidTr="00D803EE">
        <w:tc>
          <w:tcPr>
            <w:tcW w:w="3095" w:type="dxa"/>
          </w:tcPr>
          <w:p w:rsidR="00D43846" w:rsidRDefault="00D43846" w:rsidP="00D803EE">
            <w:pPr>
              <w:spacing w:after="60"/>
            </w:pPr>
            <w:r>
              <w:t xml:space="preserve">Social benefits </w:t>
            </w:r>
          </w:p>
        </w:tc>
        <w:tc>
          <w:tcPr>
            <w:tcW w:w="2159" w:type="dxa"/>
            <w:vAlign w:val="top"/>
          </w:tcPr>
          <w:p w:rsidR="00D43846" w:rsidRDefault="00D43846" w:rsidP="00D803EE">
            <w:pPr>
              <w:spacing w:after="60"/>
            </w:pPr>
            <w:r>
              <w:t>48.55</w:t>
            </w:r>
          </w:p>
        </w:tc>
        <w:tc>
          <w:tcPr>
            <w:tcW w:w="2159" w:type="dxa"/>
            <w:vAlign w:val="top"/>
          </w:tcPr>
          <w:p w:rsidR="00D43846" w:rsidRDefault="00D43846" w:rsidP="00D803EE">
            <w:pPr>
              <w:spacing w:after="60"/>
            </w:pPr>
            <w:r>
              <w:t>33.42</w:t>
            </w:r>
          </w:p>
        </w:tc>
        <w:tc>
          <w:tcPr>
            <w:tcW w:w="2159" w:type="dxa"/>
            <w:vAlign w:val="top"/>
          </w:tcPr>
          <w:p w:rsidR="00D43846" w:rsidRDefault="00D43846" w:rsidP="00D803EE">
            <w:pPr>
              <w:spacing w:after="60"/>
            </w:pPr>
            <w:r>
              <w:t>81.97</w:t>
            </w:r>
          </w:p>
        </w:tc>
      </w:tr>
      <w:tr w:rsidR="00D43846" w:rsidTr="00D803EE">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Pr="009900EB" w:rsidRDefault="00D43846" w:rsidP="00D803EE">
            <w:pPr>
              <w:spacing w:after="60"/>
              <w:rPr>
                <w:b/>
              </w:rPr>
            </w:pPr>
            <w:r w:rsidRPr="009900EB">
              <w:rPr>
                <w:b/>
              </w:rPr>
              <w:t xml:space="preserve">Total benefits </w:t>
            </w:r>
          </w:p>
        </w:tc>
        <w:tc>
          <w:tcPr>
            <w:tcW w:w="2159" w:type="dxa"/>
            <w:shd w:val="clear" w:color="auto" w:fill="auto"/>
            <w:vAlign w:val="top"/>
          </w:tcPr>
          <w:p w:rsidR="00D43846" w:rsidRPr="009900EB" w:rsidRDefault="00D43846" w:rsidP="00D803EE">
            <w:pPr>
              <w:spacing w:after="60"/>
              <w:rPr>
                <w:b/>
              </w:rPr>
            </w:pPr>
            <w:r>
              <w:rPr>
                <w:b/>
              </w:rPr>
              <w:t>80.28</w:t>
            </w:r>
          </w:p>
        </w:tc>
        <w:tc>
          <w:tcPr>
            <w:tcW w:w="2159" w:type="dxa"/>
            <w:shd w:val="clear" w:color="auto" w:fill="auto"/>
            <w:vAlign w:val="top"/>
          </w:tcPr>
          <w:p w:rsidR="00D43846" w:rsidRPr="009900EB" w:rsidRDefault="00D43846" w:rsidP="00D803EE">
            <w:pPr>
              <w:spacing w:after="60"/>
              <w:rPr>
                <w:b/>
              </w:rPr>
            </w:pPr>
            <w:r>
              <w:rPr>
                <w:b/>
              </w:rPr>
              <w:t>49.70</w:t>
            </w:r>
          </w:p>
        </w:tc>
        <w:tc>
          <w:tcPr>
            <w:tcW w:w="2159" w:type="dxa"/>
            <w:shd w:val="clear" w:color="auto" w:fill="auto"/>
            <w:vAlign w:val="top"/>
          </w:tcPr>
          <w:p w:rsidR="00D43846" w:rsidRPr="009900EB" w:rsidRDefault="00D43846" w:rsidP="00D803EE">
            <w:pPr>
              <w:spacing w:after="60"/>
              <w:rPr>
                <w:b/>
              </w:rPr>
            </w:pPr>
            <w:r>
              <w:rPr>
                <w:b/>
              </w:rPr>
              <w:t>129.98</w:t>
            </w:r>
          </w:p>
        </w:tc>
      </w:tr>
      <w:tr w:rsidR="00D43846" w:rsidTr="00D803EE">
        <w:tc>
          <w:tcPr>
            <w:tcW w:w="3095" w:type="dxa"/>
          </w:tcPr>
          <w:p w:rsidR="00D43846" w:rsidRDefault="00D43846" w:rsidP="00D803EE">
            <w:pPr>
              <w:spacing w:after="60"/>
            </w:pPr>
            <w:r>
              <w:t xml:space="preserve">Total costs </w:t>
            </w:r>
          </w:p>
        </w:tc>
        <w:tc>
          <w:tcPr>
            <w:tcW w:w="2159" w:type="dxa"/>
            <w:vAlign w:val="top"/>
          </w:tcPr>
          <w:p w:rsidR="00D43846" w:rsidRDefault="00D43846" w:rsidP="00D803EE">
            <w:pPr>
              <w:spacing w:after="60"/>
            </w:pPr>
            <w:r>
              <w:t>32.79</w:t>
            </w:r>
          </w:p>
        </w:tc>
        <w:tc>
          <w:tcPr>
            <w:tcW w:w="2159" w:type="dxa"/>
            <w:vAlign w:val="top"/>
          </w:tcPr>
          <w:p w:rsidR="00D43846" w:rsidRDefault="00D43846" w:rsidP="00D803EE">
            <w:pPr>
              <w:spacing w:after="60"/>
            </w:pPr>
            <w:r>
              <w:t>9.67</w:t>
            </w:r>
          </w:p>
        </w:tc>
        <w:tc>
          <w:tcPr>
            <w:tcW w:w="2159" w:type="dxa"/>
            <w:vAlign w:val="top"/>
          </w:tcPr>
          <w:p w:rsidR="00D43846" w:rsidRDefault="00D43846" w:rsidP="00D803EE">
            <w:pPr>
              <w:spacing w:after="60"/>
            </w:pPr>
            <w:r>
              <w:t>42.45</w:t>
            </w:r>
          </w:p>
        </w:tc>
      </w:tr>
      <w:tr w:rsidR="00D43846" w:rsidRPr="00053784" w:rsidTr="00D803EE">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Pr="00053784" w:rsidRDefault="00D43846" w:rsidP="00D803EE">
            <w:pPr>
              <w:spacing w:after="60"/>
              <w:rPr>
                <w:b/>
              </w:rPr>
            </w:pPr>
            <w:r w:rsidRPr="00053784">
              <w:rPr>
                <w:b/>
              </w:rPr>
              <w:t>Net benefit (total)</w:t>
            </w:r>
          </w:p>
        </w:tc>
        <w:tc>
          <w:tcPr>
            <w:tcW w:w="2159" w:type="dxa"/>
            <w:shd w:val="clear" w:color="auto" w:fill="auto"/>
            <w:vAlign w:val="top"/>
          </w:tcPr>
          <w:p w:rsidR="00D43846" w:rsidRPr="00053784" w:rsidRDefault="00D43846" w:rsidP="00D803EE">
            <w:pPr>
              <w:spacing w:after="60"/>
              <w:rPr>
                <w:b/>
              </w:rPr>
            </w:pPr>
            <w:r>
              <w:rPr>
                <w:b/>
              </w:rPr>
              <w:t>47.49</w:t>
            </w:r>
          </w:p>
        </w:tc>
        <w:tc>
          <w:tcPr>
            <w:tcW w:w="2159" w:type="dxa"/>
            <w:shd w:val="clear" w:color="auto" w:fill="auto"/>
            <w:vAlign w:val="top"/>
          </w:tcPr>
          <w:p w:rsidR="00D43846" w:rsidRPr="00053784" w:rsidRDefault="00D43846" w:rsidP="00D803EE">
            <w:pPr>
              <w:spacing w:after="60"/>
              <w:rPr>
                <w:b/>
              </w:rPr>
            </w:pPr>
            <w:r>
              <w:rPr>
                <w:b/>
              </w:rPr>
              <w:t>40.04</w:t>
            </w:r>
          </w:p>
        </w:tc>
        <w:tc>
          <w:tcPr>
            <w:tcW w:w="2159" w:type="dxa"/>
            <w:shd w:val="clear" w:color="auto" w:fill="auto"/>
            <w:vAlign w:val="top"/>
          </w:tcPr>
          <w:p w:rsidR="00D43846" w:rsidRPr="00053784" w:rsidRDefault="00D43846" w:rsidP="00D803EE">
            <w:pPr>
              <w:spacing w:after="60"/>
              <w:rPr>
                <w:b/>
              </w:rPr>
            </w:pPr>
            <w:r>
              <w:rPr>
                <w:b/>
              </w:rPr>
              <w:t>87.53</w:t>
            </w:r>
          </w:p>
        </w:tc>
      </w:tr>
    </w:tbl>
    <w:p w:rsidR="00D803EE" w:rsidRPr="0069578E" w:rsidRDefault="00D803EE"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BCR for ALNSW and ELNSW with a 4% discount rate"/>
      </w:tblPr>
      <w:tblGrid>
        <w:gridCol w:w="3095"/>
        <w:gridCol w:w="2159"/>
        <w:gridCol w:w="2159"/>
        <w:gridCol w:w="2159"/>
      </w:tblGrid>
      <w:tr w:rsidR="00D803EE" w:rsidTr="000F2E6C">
        <w:trPr>
          <w:cnfStyle w:val="100000000000" w:firstRow="1" w:lastRow="0" w:firstColumn="0" w:lastColumn="0" w:oddVBand="0" w:evenVBand="0" w:oddHBand="0" w:evenHBand="0" w:firstRowFirstColumn="0" w:firstRowLastColumn="0" w:lastRowFirstColumn="0" w:lastRowLastColumn="0"/>
          <w:tblHeader/>
        </w:trPr>
        <w:tc>
          <w:tcPr>
            <w:tcW w:w="3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03EE" w:rsidRDefault="00D803EE" w:rsidP="00D803EE">
            <w:pPr>
              <w:spacing w:after="60"/>
            </w:pPr>
            <w:bookmarkStart w:id="338" w:name="ColumnTitle_TableC_1"/>
            <w:bookmarkStart w:id="339" w:name="ColumnTitle_TableC_1a_header"/>
            <w:bookmarkEnd w:id="338"/>
            <w:r w:rsidRPr="00D803EE">
              <w:rPr>
                <w:b/>
                <w:color w:val="auto"/>
              </w:rPr>
              <w:t>BCR</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43846" w:rsidRDefault="00D803EE" w:rsidP="00D803EE">
            <w:pPr>
              <w:spacing w:after="60"/>
              <w:rPr>
                <w:b/>
                <w:color w:val="auto"/>
              </w:rPr>
            </w:pPr>
            <w:r w:rsidRPr="00D43846">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43846" w:rsidRDefault="00D803EE" w:rsidP="00D803EE">
            <w:pPr>
              <w:spacing w:after="60"/>
              <w:rPr>
                <w:b/>
                <w:color w:val="auto"/>
              </w:rPr>
            </w:pPr>
            <w:r w:rsidRPr="00D43846">
              <w:rPr>
                <w:b/>
                <w:color w:val="auto"/>
              </w:rPr>
              <w:t>ELNSW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43846" w:rsidRDefault="00D803EE" w:rsidP="00D803EE">
            <w:pPr>
              <w:spacing w:after="60"/>
              <w:rPr>
                <w:b/>
                <w:color w:val="auto"/>
              </w:rPr>
            </w:pPr>
            <w:r w:rsidRPr="00D43846">
              <w:rPr>
                <w:b/>
                <w:color w:val="auto"/>
              </w:rPr>
              <w:t>Total</w:t>
            </w:r>
          </w:p>
        </w:tc>
      </w:tr>
      <w:bookmarkEnd w:id="339"/>
      <w:tr w:rsidR="00D803EE" w:rsidTr="00D803EE">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803EE" w:rsidRPr="00487483" w:rsidRDefault="00D803EE" w:rsidP="00D803EE">
            <w:pPr>
              <w:spacing w:after="60"/>
              <w:rPr>
                <w:b/>
              </w:rPr>
            </w:pPr>
            <w:r>
              <w:rPr>
                <w:b/>
              </w:rPr>
              <w:t xml:space="preserve">Total </w:t>
            </w:r>
            <w:r w:rsidRPr="00487483">
              <w:rPr>
                <w:b/>
              </w:rPr>
              <w:t>benefits</w:t>
            </w:r>
          </w:p>
        </w:tc>
        <w:tc>
          <w:tcPr>
            <w:tcW w:w="2159" w:type="dxa"/>
            <w:shd w:val="clear" w:color="auto" w:fill="auto"/>
            <w:vAlign w:val="top"/>
          </w:tcPr>
          <w:p w:rsidR="00D803EE" w:rsidRPr="00487483" w:rsidRDefault="00D803EE" w:rsidP="00D803EE">
            <w:pPr>
              <w:spacing w:after="60"/>
              <w:rPr>
                <w:b/>
              </w:rPr>
            </w:pPr>
            <w:r>
              <w:rPr>
                <w:b/>
              </w:rPr>
              <w:t>2.4</w:t>
            </w:r>
          </w:p>
        </w:tc>
        <w:tc>
          <w:tcPr>
            <w:tcW w:w="2159" w:type="dxa"/>
            <w:shd w:val="clear" w:color="auto" w:fill="auto"/>
            <w:vAlign w:val="top"/>
          </w:tcPr>
          <w:p w:rsidR="00D803EE" w:rsidRPr="00487483" w:rsidRDefault="00D803EE" w:rsidP="00D803EE">
            <w:pPr>
              <w:spacing w:after="60"/>
              <w:rPr>
                <w:b/>
              </w:rPr>
            </w:pPr>
            <w:r>
              <w:rPr>
                <w:b/>
              </w:rPr>
              <w:t>5.1</w:t>
            </w:r>
          </w:p>
        </w:tc>
        <w:tc>
          <w:tcPr>
            <w:tcW w:w="2159" w:type="dxa"/>
            <w:shd w:val="clear" w:color="auto" w:fill="auto"/>
            <w:vAlign w:val="top"/>
          </w:tcPr>
          <w:p w:rsidR="00D803EE" w:rsidRPr="00487483" w:rsidRDefault="00D803EE" w:rsidP="00D803EE">
            <w:pPr>
              <w:spacing w:after="60"/>
              <w:rPr>
                <w:b/>
              </w:rPr>
            </w:pPr>
            <w:r>
              <w:rPr>
                <w:b/>
              </w:rPr>
              <w:t>3.1</w:t>
            </w:r>
          </w:p>
        </w:tc>
      </w:tr>
      <w:tr w:rsidR="00D803EE" w:rsidTr="00D803EE">
        <w:tc>
          <w:tcPr>
            <w:tcW w:w="3095" w:type="dxa"/>
          </w:tcPr>
          <w:p w:rsidR="00D803EE" w:rsidRDefault="00D803EE" w:rsidP="00D803EE">
            <w:pPr>
              <w:spacing w:after="60"/>
            </w:pPr>
            <w:r>
              <w:t>Economic benefits only</w:t>
            </w:r>
          </w:p>
        </w:tc>
        <w:tc>
          <w:tcPr>
            <w:tcW w:w="2159" w:type="dxa"/>
            <w:vAlign w:val="top"/>
          </w:tcPr>
          <w:p w:rsidR="00D803EE" w:rsidRDefault="00D803EE" w:rsidP="00D803EE">
            <w:pPr>
              <w:spacing w:after="60"/>
            </w:pPr>
            <w:r>
              <w:t>1.0</w:t>
            </w:r>
          </w:p>
        </w:tc>
        <w:tc>
          <w:tcPr>
            <w:tcW w:w="2159" w:type="dxa"/>
            <w:vAlign w:val="top"/>
          </w:tcPr>
          <w:p w:rsidR="00D803EE" w:rsidRDefault="00D803EE" w:rsidP="00D803EE">
            <w:pPr>
              <w:spacing w:after="60"/>
            </w:pPr>
            <w:r>
              <w:t>1.7</w:t>
            </w:r>
          </w:p>
        </w:tc>
        <w:tc>
          <w:tcPr>
            <w:tcW w:w="2159" w:type="dxa"/>
            <w:vAlign w:val="top"/>
          </w:tcPr>
          <w:p w:rsidR="00D803EE" w:rsidRDefault="00D803EE" w:rsidP="00D803EE">
            <w:pPr>
              <w:spacing w:after="60"/>
            </w:pPr>
            <w:r>
              <w:t>1.1</w:t>
            </w:r>
          </w:p>
        </w:tc>
      </w:tr>
    </w:tbl>
    <w:p w:rsidR="00D43846" w:rsidRPr="00DE5B35" w:rsidRDefault="00D43846" w:rsidP="00D43846">
      <w:r w:rsidRPr="00DE5B35">
        <w:rPr>
          <w:sz w:val="18"/>
        </w:rPr>
        <w:t>Note: totals may not add due to rounding</w:t>
      </w:r>
    </w:p>
    <w:p w:rsidR="00D43846" w:rsidRDefault="00D43846" w:rsidP="00D43846">
      <w:r>
        <w:fldChar w:fldCharType="begin"/>
      </w:r>
      <w:r>
        <w:instrText xml:space="preserve"> REF _Ref460422275 \h </w:instrText>
      </w:r>
      <w:r>
        <w:fldChar w:fldCharType="separate"/>
      </w:r>
      <w:proofErr w:type="gramStart"/>
      <w:r w:rsidR="00B03354" w:rsidRPr="00D43846">
        <w:t>Table</w:t>
      </w:r>
      <w:r w:rsidR="00B03354">
        <w:t>s</w:t>
      </w:r>
      <w:r w:rsidR="00B03354" w:rsidRPr="00D43846">
        <w:t xml:space="preserve"> </w:t>
      </w:r>
      <w:r w:rsidR="00B03354" w:rsidRPr="00D43846">
        <w:rPr>
          <w:noProof/>
        </w:rPr>
        <w:t>C</w:t>
      </w:r>
      <w:r w:rsidR="00B03354" w:rsidRPr="00D43846">
        <w:noBreakHyphen/>
      </w:r>
      <w:r w:rsidR="00B03354" w:rsidRPr="00D43846">
        <w:rPr>
          <w:noProof/>
        </w:rPr>
        <w:t>2</w:t>
      </w:r>
      <w:r>
        <w:fldChar w:fldCharType="end"/>
      </w:r>
      <w:r>
        <w:t xml:space="preserve"> outlines CBA results with a 10% discount rate.</w:t>
      </w:r>
      <w:proofErr w:type="gramEnd"/>
    </w:p>
    <w:p w:rsidR="00D43846" w:rsidRPr="00D43846" w:rsidRDefault="00D43846" w:rsidP="00D43846">
      <w:pPr>
        <w:pStyle w:val="Caption"/>
        <w:rPr>
          <w:sz w:val="20"/>
          <w:szCs w:val="20"/>
        </w:rPr>
      </w:pPr>
      <w:bookmarkStart w:id="340" w:name="_Ref460422275"/>
      <w:bookmarkStart w:id="341" w:name="_Toc460420948"/>
      <w:bookmarkStart w:id="342" w:name="_Toc460421010"/>
      <w:bookmarkStart w:id="343" w:name="_Toc460421036"/>
      <w:bookmarkStart w:id="344" w:name="_Toc460421544"/>
      <w:bookmarkStart w:id="345" w:name="_Toc460421577"/>
      <w:bookmarkStart w:id="346" w:name="_Toc460421899"/>
      <w:bookmarkStart w:id="347" w:name="_Toc460421936"/>
      <w:bookmarkStart w:id="348" w:name="_Toc460422208"/>
      <w:bookmarkStart w:id="349" w:name="_Toc460422224"/>
      <w:bookmarkStart w:id="350" w:name="_Toc460422229"/>
      <w:bookmarkStart w:id="351" w:name="_Ref460422272"/>
      <w:bookmarkStart w:id="352" w:name="_Toc460422304"/>
      <w:bookmarkStart w:id="353" w:name="_Toc460422514"/>
      <w:bookmarkStart w:id="354" w:name="_Toc460422538"/>
      <w:bookmarkStart w:id="355" w:name="_Toc460422600"/>
      <w:bookmarkStart w:id="356" w:name="_Toc460422654"/>
      <w:bookmarkStart w:id="357" w:name="_Toc460422663"/>
      <w:bookmarkStart w:id="358" w:name="_Toc460485633"/>
      <w:bookmarkStart w:id="359" w:name="_Toc460500668"/>
      <w:bookmarkStart w:id="360" w:name="_Toc460500691"/>
      <w:bookmarkStart w:id="361" w:name="_Toc460503725"/>
      <w:bookmarkStart w:id="362" w:name="_Toc460503939"/>
      <w:bookmarkStart w:id="363" w:name="_Toc460503957"/>
      <w:bookmarkStart w:id="364" w:name="_Toc460504234"/>
      <w:bookmarkStart w:id="365" w:name="_Toc460504241"/>
      <w:bookmarkStart w:id="366" w:name="_Toc460504271"/>
      <w:bookmarkStart w:id="367" w:name="_Toc460504284"/>
      <w:bookmarkStart w:id="368" w:name="_Toc460504377"/>
      <w:bookmarkStart w:id="369" w:name="_Toc462836071"/>
      <w:bookmarkStart w:id="370" w:name="_Toc462998070"/>
      <w:bookmarkStart w:id="371" w:name="_Toc463002682"/>
      <w:bookmarkStart w:id="372" w:name="_Toc463002775"/>
      <w:bookmarkStart w:id="373" w:name="_Toc463002883"/>
      <w:bookmarkStart w:id="374" w:name="_Toc463003014"/>
      <w:bookmarkStart w:id="375" w:name="_Toc463951033"/>
      <w:bookmarkStart w:id="376" w:name="_Toc463951068"/>
      <w:bookmarkStart w:id="377" w:name="_Toc465259464"/>
      <w:bookmarkStart w:id="378" w:name="_Toc465259471"/>
      <w:bookmarkStart w:id="379" w:name="_Toc465259547"/>
      <w:bookmarkStart w:id="380" w:name="_Toc465259754"/>
      <w:bookmarkStart w:id="381" w:name="_Toc466025158"/>
      <w:bookmarkStart w:id="382" w:name="_Toc466037282"/>
      <w:bookmarkStart w:id="383" w:name="_Toc467137561"/>
      <w:r w:rsidRPr="00D43846">
        <w:rPr>
          <w:sz w:val="20"/>
          <w:szCs w:val="20"/>
        </w:rPr>
        <w:t>Table</w:t>
      </w:r>
      <w:r w:rsidR="00B03354">
        <w:rPr>
          <w:sz w:val="20"/>
          <w:szCs w:val="20"/>
        </w:rPr>
        <w:t>s</w:t>
      </w:r>
      <w:r w:rsidRPr="00D43846">
        <w:rPr>
          <w:sz w:val="20"/>
          <w:szCs w:val="20"/>
        </w:rPr>
        <w:t xml:space="preserve"> </w:t>
      </w:r>
      <w:r w:rsidRPr="00D43846">
        <w:rPr>
          <w:sz w:val="20"/>
          <w:szCs w:val="20"/>
        </w:rPr>
        <w:fldChar w:fldCharType="begin"/>
      </w:r>
      <w:r w:rsidRPr="00D43846">
        <w:rPr>
          <w:sz w:val="20"/>
          <w:szCs w:val="20"/>
        </w:rPr>
        <w:instrText xml:space="preserve"> STYLEREF  \s Appendix1 </w:instrText>
      </w:r>
      <w:r w:rsidRPr="00D43846">
        <w:rPr>
          <w:sz w:val="20"/>
          <w:szCs w:val="20"/>
        </w:rPr>
        <w:fldChar w:fldCharType="separate"/>
      </w:r>
      <w:r w:rsidRPr="00D43846">
        <w:rPr>
          <w:noProof/>
          <w:sz w:val="20"/>
          <w:szCs w:val="20"/>
        </w:rPr>
        <w:t>C</w:t>
      </w:r>
      <w:r w:rsidRPr="00D43846">
        <w:rPr>
          <w:noProof/>
          <w:sz w:val="20"/>
          <w:szCs w:val="20"/>
        </w:rPr>
        <w:fldChar w:fldCharType="end"/>
      </w:r>
      <w:r w:rsidRPr="00D43846">
        <w:rPr>
          <w:sz w:val="20"/>
          <w:szCs w:val="20"/>
        </w:rPr>
        <w:noBreakHyphen/>
      </w:r>
      <w:r w:rsidRPr="00D43846">
        <w:rPr>
          <w:sz w:val="20"/>
          <w:szCs w:val="20"/>
        </w:rPr>
        <w:fldChar w:fldCharType="begin"/>
      </w:r>
      <w:r w:rsidRPr="00D43846">
        <w:rPr>
          <w:sz w:val="20"/>
          <w:szCs w:val="20"/>
        </w:rPr>
        <w:instrText xml:space="preserve"> SEQ Table \* ARABIC \s 1 </w:instrText>
      </w:r>
      <w:r w:rsidRPr="00D43846">
        <w:rPr>
          <w:sz w:val="20"/>
          <w:szCs w:val="20"/>
        </w:rPr>
        <w:fldChar w:fldCharType="separate"/>
      </w:r>
      <w:r w:rsidRPr="00D43846">
        <w:rPr>
          <w:noProof/>
          <w:sz w:val="20"/>
          <w:szCs w:val="20"/>
        </w:rPr>
        <w:t>2</w:t>
      </w:r>
      <w:r w:rsidRPr="00D43846">
        <w:rPr>
          <w:noProof/>
          <w:sz w:val="20"/>
          <w:szCs w:val="20"/>
        </w:rPr>
        <w:fldChar w:fldCharType="end"/>
      </w:r>
      <w:bookmarkEnd w:id="340"/>
      <w:r w:rsidRPr="00D43846">
        <w:rPr>
          <w:sz w:val="20"/>
          <w:szCs w:val="20"/>
        </w:rPr>
        <w:t xml:space="preserve"> – CBA results with 10% discount rate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D572B6">
        <w:rPr>
          <w:sz w:val="20"/>
          <w:szCs w:val="20"/>
        </w:rPr>
        <w:t xml:space="preserve"> </w:t>
      </w:r>
      <w:r w:rsidR="00D572B6" w:rsidRPr="00D572B6">
        <w:rPr>
          <w:sz w:val="20"/>
          <w:szCs w:val="20"/>
        </w:rPr>
        <w:t>(NPV, $ million)</w:t>
      </w: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CBA results for ALNSW and ELNSW with a 10% discount rate"/>
      </w:tblPr>
      <w:tblGrid>
        <w:gridCol w:w="3095"/>
        <w:gridCol w:w="2159"/>
        <w:gridCol w:w="2159"/>
        <w:gridCol w:w="2159"/>
      </w:tblGrid>
      <w:tr w:rsidR="00D803EE" w:rsidRPr="00D803EE" w:rsidTr="000F2E6C">
        <w:trPr>
          <w:cnfStyle w:val="100000000000" w:firstRow="1" w:lastRow="0" w:firstColumn="0" w:lastColumn="0" w:oddVBand="0" w:evenVBand="0" w:oddHBand="0" w:evenHBand="0" w:firstRowFirstColumn="0" w:firstRowLastColumn="0" w:lastRowFirstColumn="0" w:lastRowLastColumn="0"/>
          <w:tblHeader/>
        </w:trPr>
        <w:tc>
          <w:tcPr>
            <w:tcW w:w="3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43846" w:rsidRPr="00D803EE" w:rsidRDefault="00D572B6" w:rsidP="00D803EE">
            <w:pPr>
              <w:spacing w:after="60"/>
              <w:rPr>
                <w:color w:val="auto"/>
              </w:rPr>
            </w:pPr>
            <w:bookmarkStart w:id="384" w:name="ColumnTitle_TableC_2_header"/>
            <w:r>
              <w:rPr>
                <w:b/>
                <w:color w:val="auto"/>
              </w:rPr>
              <w:t>Item</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803EE" w:rsidRDefault="00D43846" w:rsidP="00D803EE">
            <w:pPr>
              <w:spacing w:after="60"/>
              <w:rPr>
                <w:b/>
                <w:color w:val="auto"/>
              </w:rPr>
            </w:pPr>
            <w:r w:rsidRPr="00D803EE">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803EE" w:rsidRDefault="00D43846" w:rsidP="00D803EE">
            <w:pPr>
              <w:spacing w:after="60"/>
              <w:rPr>
                <w:b/>
                <w:color w:val="auto"/>
              </w:rPr>
            </w:pPr>
            <w:r w:rsidRPr="00D803EE">
              <w:rPr>
                <w:b/>
                <w:color w:val="auto"/>
              </w:rPr>
              <w:t>ELNSW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43846" w:rsidRPr="00D803EE" w:rsidRDefault="00D43846" w:rsidP="00D803EE">
            <w:pPr>
              <w:spacing w:after="60"/>
              <w:rPr>
                <w:b/>
                <w:color w:val="auto"/>
              </w:rPr>
            </w:pPr>
            <w:r w:rsidRPr="00D803EE">
              <w:rPr>
                <w:b/>
                <w:color w:val="auto"/>
              </w:rPr>
              <w:t>Total</w:t>
            </w:r>
          </w:p>
        </w:tc>
      </w:tr>
      <w:bookmarkEnd w:id="384"/>
      <w:tr w:rsidR="00D43846" w:rsidTr="002F159C">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Default="00D43846" w:rsidP="00D803EE">
            <w:pPr>
              <w:spacing w:after="60"/>
            </w:pPr>
            <w:r>
              <w:t xml:space="preserve">Economic benefits </w:t>
            </w:r>
          </w:p>
        </w:tc>
        <w:tc>
          <w:tcPr>
            <w:tcW w:w="2159" w:type="dxa"/>
            <w:shd w:val="clear" w:color="auto" w:fill="auto"/>
            <w:vAlign w:val="top"/>
          </w:tcPr>
          <w:p w:rsidR="00D43846" w:rsidRDefault="00D43846" w:rsidP="00D803EE">
            <w:pPr>
              <w:spacing w:after="60"/>
            </w:pPr>
            <w:r>
              <w:t>28.31</w:t>
            </w:r>
          </w:p>
        </w:tc>
        <w:tc>
          <w:tcPr>
            <w:tcW w:w="2159" w:type="dxa"/>
            <w:shd w:val="clear" w:color="auto" w:fill="auto"/>
            <w:vAlign w:val="top"/>
          </w:tcPr>
          <w:p w:rsidR="00D43846" w:rsidRDefault="00D43846" w:rsidP="00D803EE">
            <w:pPr>
              <w:spacing w:after="60"/>
            </w:pPr>
            <w:r>
              <w:t>15.72</w:t>
            </w:r>
          </w:p>
        </w:tc>
        <w:tc>
          <w:tcPr>
            <w:tcW w:w="2159" w:type="dxa"/>
            <w:shd w:val="clear" w:color="auto" w:fill="auto"/>
            <w:vAlign w:val="top"/>
          </w:tcPr>
          <w:p w:rsidR="00D43846" w:rsidRDefault="00D43846" w:rsidP="00D803EE">
            <w:pPr>
              <w:spacing w:after="60"/>
            </w:pPr>
            <w:r>
              <w:t>44.03</w:t>
            </w:r>
          </w:p>
        </w:tc>
      </w:tr>
      <w:tr w:rsidR="00D43846" w:rsidTr="002F159C">
        <w:tc>
          <w:tcPr>
            <w:tcW w:w="3095" w:type="dxa"/>
          </w:tcPr>
          <w:p w:rsidR="00D43846" w:rsidRDefault="00D43846" w:rsidP="00D803EE">
            <w:pPr>
              <w:spacing w:after="60"/>
            </w:pPr>
            <w:r>
              <w:t xml:space="preserve">Social benefits </w:t>
            </w:r>
          </w:p>
        </w:tc>
        <w:tc>
          <w:tcPr>
            <w:tcW w:w="2159" w:type="dxa"/>
            <w:vAlign w:val="top"/>
          </w:tcPr>
          <w:p w:rsidR="00D43846" w:rsidRDefault="00D43846" w:rsidP="00D803EE">
            <w:pPr>
              <w:spacing w:after="60"/>
            </w:pPr>
            <w:r>
              <w:t>47.80</w:t>
            </w:r>
          </w:p>
        </w:tc>
        <w:tc>
          <w:tcPr>
            <w:tcW w:w="2159" w:type="dxa"/>
            <w:vAlign w:val="top"/>
          </w:tcPr>
          <w:p w:rsidR="00D43846" w:rsidRDefault="00D43846" w:rsidP="00D803EE">
            <w:pPr>
              <w:spacing w:after="60"/>
            </w:pPr>
            <w:r>
              <w:t>33.30</w:t>
            </w:r>
          </w:p>
        </w:tc>
        <w:tc>
          <w:tcPr>
            <w:tcW w:w="2159" w:type="dxa"/>
            <w:vAlign w:val="top"/>
          </w:tcPr>
          <w:p w:rsidR="00D43846" w:rsidRDefault="00D43846" w:rsidP="00D803EE">
            <w:pPr>
              <w:spacing w:after="60"/>
            </w:pPr>
            <w:r>
              <w:t>81.10</w:t>
            </w:r>
          </w:p>
        </w:tc>
      </w:tr>
      <w:tr w:rsidR="00D43846" w:rsidTr="002F159C">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Pr="009900EB" w:rsidRDefault="00D43846" w:rsidP="00D803EE">
            <w:pPr>
              <w:spacing w:after="60"/>
              <w:rPr>
                <w:b/>
              </w:rPr>
            </w:pPr>
            <w:r w:rsidRPr="009900EB">
              <w:rPr>
                <w:b/>
              </w:rPr>
              <w:t xml:space="preserve">Total benefits </w:t>
            </w:r>
          </w:p>
        </w:tc>
        <w:tc>
          <w:tcPr>
            <w:tcW w:w="2159" w:type="dxa"/>
            <w:shd w:val="clear" w:color="auto" w:fill="auto"/>
            <w:vAlign w:val="top"/>
          </w:tcPr>
          <w:p w:rsidR="00D43846" w:rsidRPr="009900EB" w:rsidRDefault="00D43846" w:rsidP="00D803EE">
            <w:pPr>
              <w:spacing w:after="60"/>
              <w:rPr>
                <w:b/>
              </w:rPr>
            </w:pPr>
            <w:r>
              <w:rPr>
                <w:b/>
              </w:rPr>
              <w:t>76.12</w:t>
            </w:r>
          </w:p>
        </w:tc>
        <w:tc>
          <w:tcPr>
            <w:tcW w:w="2159" w:type="dxa"/>
            <w:shd w:val="clear" w:color="auto" w:fill="auto"/>
            <w:vAlign w:val="top"/>
          </w:tcPr>
          <w:p w:rsidR="00D43846" w:rsidRPr="009900EB" w:rsidRDefault="00D43846" w:rsidP="00D803EE">
            <w:pPr>
              <w:spacing w:after="60"/>
              <w:rPr>
                <w:b/>
              </w:rPr>
            </w:pPr>
            <w:r>
              <w:rPr>
                <w:b/>
              </w:rPr>
              <w:t>49.02</w:t>
            </w:r>
          </w:p>
        </w:tc>
        <w:tc>
          <w:tcPr>
            <w:tcW w:w="2159" w:type="dxa"/>
            <w:shd w:val="clear" w:color="auto" w:fill="auto"/>
            <w:vAlign w:val="top"/>
          </w:tcPr>
          <w:p w:rsidR="00D43846" w:rsidRPr="009900EB" w:rsidRDefault="00D43846" w:rsidP="00D803EE">
            <w:pPr>
              <w:spacing w:after="60"/>
              <w:rPr>
                <w:b/>
              </w:rPr>
            </w:pPr>
            <w:r>
              <w:rPr>
                <w:b/>
              </w:rPr>
              <w:t>125.13</w:t>
            </w:r>
          </w:p>
        </w:tc>
      </w:tr>
      <w:tr w:rsidR="00D43846" w:rsidTr="002F159C">
        <w:tc>
          <w:tcPr>
            <w:tcW w:w="3095" w:type="dxa"/>
          </w:tcPr>
          <w:p w:rsidR="00D43846" w:rsidRDefault="00D43846" w:rsidP="00D803EE">
            <w:pPr>
              <w:spacing w:after="60"/>
            </w:pPr>
            <w:r>
              <w:t xml:space="preserve">Total costs </w:t>
            </w:r>
          </w:p>
        </w:tc>
        <w:tc>
          <w:tcPr>
            <w:tcW w:w="2159" w:type="dxa"/>
            <w:vAlign w:val="top"/>
          </w:tcPr>
          <w:p w:rsidR="00D43846" w:rsidRDefault="00D43846" w:rsidP="00D803EE">
            <w:pPr>
              <w:spacing w:after="60"/>
            </w:pPr>
            <w:r>
              <w:t>32.79</w:t>
            </w:r>
          </w:p>
        </w:tc>
        <w:tc>
          <w:tcPr>
            <w:tcW w:w="2159" w:type="dxa"/>
            <w:vAlign w:val="top"/>
          </w:tcPr>
          <w:p w:rsidR="00D43846" w:rsidRDefault="00D43846" w:rsidP="00D803EE">
            <w:pPr>
              <w:spacing w:after="60"/>
            </w:pPr>
            <w:r>
              <w:t>9.67</w:t>
            </w:r>
          </w:p>
        </w:tc>
        <w:tc>
          <w:tcPr>
            <w:tcW w:w="2159" w:type="dxa"/>
            <w:vAlign w:val="top"/>
          </w:tcPr>
          <w:p w:rsidR="00D43846" w:rsidRDefault="00D43846" w:rsidP="00D803EE">
            <w:pPr>
              <w:spacing w:after="60"/>
            </w:pPr>
            <w:r>
              <w:t>42.45</w:t>
            </w:r>
          </w:p>
        </w:tc>
      </w:tr>
      <w:tr w:rsidR="00D43846" w:rsidRPr="00053784" w:rsidTr="002F159C">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43846" w:rsidRPr="00053784" w:rsidRDefault="00D43846" w:rsidP="00D803EE">
            <w:pPr>
              <w:spacing w:after="60"/>
              <w:rPr>
                <w:b/>
              </w:rPr>
            </w:pPr>
            <w:r w:rsidRPr="00053784">
              <w:rPr>
                <w:b/>
              </w:rPr>
              <w:t>Net benefit (total)</w:t>
            </w:r>
          </w:p>
        </w:tc>
        <w:tc>
          <w:tcPr>
            <w:tcW w:w="2159" w:type="dxa"/>
            <w:shd w:val="clear" w:color="auto" w:fill="auto"/>
            <w:vAlign w:val="top"/>
          </w:tcPr>
          <w:p w:rsidR="00D43846" w:rsidRPr="00053784" w:rsidRDefault="00D43846" w:rsidP="00D803EE">
            <w:pPr>
              <w:spacing w:after="60"/>
              <w:rPr>
                <w:b/>
              </w:rPr>
            </w:pPr>
            <w:r>
              <w:rPr>
                <w:b/>
              </w:rPr>
              <w:t>43.33</w:t>
            </w:r>
          </w:p>
        </w:tc>
        <w:tc>
          <w:tcPr>
            <w:tcW w:w="2159" w:type="dxa"/>
            <w:shd w:val="clear" w:color="auto" w:fill="auto"/>
            <w:vAlign w:val="top"/>
          </w:tcPr>
          <w:p w:rsidR="00D43846" w:rsidRPr="00053784" w:rsidRDefault="00D43846" w:rsidP="00D803EE">
            <w:pPr>
              <w:spacing w:after="60"/>
              <w:rPr>
                <w:b/>
              </w:rPr>
            </w:pPr>
            <w:r>
              <w:rPr>
                <w:b/>
              </w:rPr>
              <w:t>39.35</w:t>
            </w:r>
          </w:p>
        </w:tc>
        <w:tc>
          <w:tcPr>
            <w:tcW w:w="2159" w:type="dxa"/>
            <w:shd w:val="clear" w:color="auto" w:fill="auto"/>
            <w:vAlign w:val="top"/>
          </w:tcPr>
          <w:p w:rsidR="00D43846" w:rsidRPr="00053784" w:rsidRDefault="00D43846" w:rsidP="00D803EE">
            <w:pPr>
              <w:spacing w:after="60"/>
              <w:rPr>
                <w:b/>
              </w:rPr>
            </w:pPr>
            <w:r>
              <w:rPr>
                <w:b/>
              </w:rPr>
              <w:t>82.68</w:t>
            </w:r>
          </w:p>
        </w:tc>
      </w:tr>
    </w:tbl>
    <w:p w:rsidR="00D803EE" w:rsidRPr="0069578E" w:rsidRDefault="00D803EE" w:rsidP="0069578E">
      <w:pPr>
        <w:pStyle w:val="Caption"/>
        <w:spacing w:after="0"/>
        <w:rPr>
          <w:sz w:val="12"/>
          <w:szCs w:val="12"/>
        </w:rPr>
      </w:pPr>
    </w:p>
    <w:tbl>
      <w:tblPr>
        <w:tblStyle w:val="Urbis-Default"/>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Description w:val="Breakdown of the BCR for ALNSW and ELNSW with a 10% discount rate"/>
      </w:tblPr>
      <w:tblGrid>
        <w:gridCol w:w="3095"/>
        <w:gridCol w:w="2159"/>
        <w:gridCol w:w="2159"/>
        <w:gridCol w:w="2159"/>
      </w:tblGrid>
      <w:tr w:rsidR="00D803EE" w:rsidRPr="00D803EE" w:rsidTr="000F2E6C">
        <w:trPr>
          <w:cnfStyle w:val="100000000000" w:firstRow="1" w:lastRow="0" w:firstColumn="0" w:lastColumn="0" w:oddVBand="0" w:evenVBand="0" w:oddHBand="0" w:evenHBand="0" w:firstRowFirstColumn="0" w:firstRowLastColumn="0" w:lastRowFirstColumn="0" w:lastRowLastColumn="0"/>
          <w:tblHeader/>
        </w:trPr>
        <w:tc>
          <w:tcPr>
            <w:tcW w:w="30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803EE" w:rsidRPr="00D803EE" w:rsidRDefault="00D803EE" w:rsidP="00D803EE">
            <w:pPr>
              <w:spacing w:after="60"/>
              <w:rPr>
                <w:b/>
                <w:color w:val="auto"/>
              </w:rPr>
            </w:pPr>
            <w:bookmarkStart w:id="385" w:name="ColumnTitle_TableC_2"/>
            <w:bookmarkStart w:id="386" w:name="ColumnTitle_TableC_2a_header"/>
            <w:bookmarkEnd w:id="385"/>
            <w:r w:rsidRPr="00D803EE">
              <w:rPr>
                <w:b/>
                <w:color w:val="auto"/>
              </w:rPr>
              <w:t>BCR</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803EE" w:rsidRDefault="00D803EE" w:rsidP="00D803EE">
            <w:pPr>
              <w:spacing w:after="60"/>
              <w:rPr>
                <w:b/>
                <w:color w:val="auto"/>
              </w:rPr>
            </w:pPr>
            <w:r w:rsidRPr="00D803EE">
              <w:rPr>
                <w:b/>
                <w:color w:val="auto"/>
              </w:rPr>
              <w:t>ALNSW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803EE" w:rsidRDefault="00D803EE" w:rsidP="00D803EE">
            <w:pPr>
              <w:spacing w:after="60"/>
              <w:rPr>
                <w:b/>
                <w:color w:val="auto"/>
              </w:rPr>
            </w:pPr>
            <w:r w:rsidRPr="00D803EE">
              <w:rPr>
                <w:b/>
                <w:color w:val="auto"/>
              </w:rPr>
              <w:t>ELNSW</w:t>
            </w:r>
          </w:p>
        </w:tc>
        <w:tc>
          <w:tcPr>
            <w:tcW w:w="21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D803EE" w:rsidRPr="00D803EE" w:rsidRDefault="00D803EE" w:rsidP="00D803EE">
            <w:pPr>
              <w:spacing w:after="60"/>
              <w:rPr>
                <w:b/>
                <w:color w:val="auto"/>
              </w:rPr>
            </w:pPr>
            <w:r w:rsidRPr="00D803EE">
              <w:rPr>
                <w:b/>
                <w:color w:val="auto"/>
              </w:rPr>
              <w:t>Total</w:t>
            </w:r>
          </w:p>
        </w:tc>
      </w:tr>
      <w:bookmarkEnd w:id="386"/>
      <w:tr w:rsidR="00D803EE" w:rsidTr="002F159C">
        <w:trPr>
          <w:cnfStyle w:val="000000100000" w:firstRow="0" w:lastRow="0" w:firstColumn="0" w:lastColumn="0" w:oddVBand="0" w:evenVBand="0" w:oddHBand="1" w:evenHBand="0" w:firstRowFirstColumn="0" w:firstRowLastColumn="0" w:lastRowFirstColumn="0" w:lastRowLastColumn="0"/>
        </w:trPr>
        <w:tc>
          <w:tcPr>
            <w:tcW w:w="3095" w:type="dxa"/>
            <w:shd w:val="clear" w:color="auto" w:fill="auto"/>
          </w:tcPr>
          <w:p w:rsidR="00D803EE" w:rsidRPr="00487483" w:rsidRDefault="00D803EE" w:rsidP="00D803EE">
            <w:pPr>
              <w:spacing w:after="60"/>
              <w:rPr>
                <w:b/>
              </w:rPr>
            </w:pPr>
            <w:r>
              <w:rPr>
                <w:b/>
              </w:rPr>
              <w:t xml:space="preserve">Total </w:t>
            </w:r>
            <w:r w:rsidRPr="00487483">
              <w:rPr>
                <w:b/>
              </w:rPr>
              <w:t>benefits</w:t>
            </w:r>
          </w:p>
        </w:tc>
        <w:tc>
          <w:tcPr>
            <w:tcW w:w="2159" w:type="dxa"/>
            <w:shd w:val="clear" w:color="auto" w:fill="auto"/>
            <w:vAlign w:val="top"/>
          </w:tcPr>
          <w:p w:rsidR="00D803EE" w:rsidRPr="00487483" w:rsidRDefault="00D803EE" w:rsidP="00D803EE">
            <w:pPr>
              <w:spacing w:after="60"/>
              <w:rPr>
                <w:b/>
              </w:rPr>
            </w:pPr>
            <w:r>
              <w:rPr>
                <w:b/>
              </w:rPr>
              <w:t>2.3</w:t>
            </w:r>
          </w:p>
        </w:tc>
        <w:tc>
          <w:tcPr>
            <w:tcW w:w="2159" w:type="dxa"/>
            <w:shd w:val="clear" w:color="auto" w:fill="auto"/>
            <w:vAlign w:val="top"/>
          </w:tcPr>
          <w:p w:rsidR="00D803EE" w:rsidRPr="00487483" w:rsidRDefault="00D803EE" w:rsidP="00D803EE">
            <w:pPr>
              <w:spacing w:after="60"/>
              <w:rPr>
                <w:b/>
              </w:rPr>
            </w:pPr>
            <w:r>
              <w:rPr>
                <w:b/>
              </w:rPr>
              <w:t>5.1</w:t>
            </w:r>
          </w:p>
        </w:tc>
        <w:tc>
          <w:tcPr>
            <w:tcW w:w="2159" w:type="dxa"/>
            <w:shd w:val="clear" w:color="auto" w:fill="auto"/>
            <w:vAlign w:val="top"/>
          </w:tcPr>
          <w:p w:rsidR="00D803EE" w:rsidRPr="00487483" w:rsidRDefault="00D803EE" w:rsidP="00D803EE">
            <w:pPr>
              <w:spacing w:after="60"/>
              <w:rPr>
                <w:b/>
              </w:rPr>
            </w:pPr>
            <w:r>
              <w:rPr>
                <w:b/>
              </w:rPr>
              <w:t>2.9</w:t>
            </w:r>
          </w:p>
        </w:tc>
      </w:tr>
      <w:tr w:rsidR="00D803EE" w:rsidTr="002F159C">
        <w:tc>
          <w:tcPr>
            <w:tcW w:w="3095" w:type="dxa"/>
          </w:tcPr>
          <w:p w:rsidR="00D803EE" w:rsidRDefault="00D803EE" w:rsidP="00D803EE">
            <w:pPr>
              <w:spacing w:after="60"/>
            </w:pPr>
            <w:r>
              <w:t>Economic benefits only</w:t>
            </w:r>
          </w:p>
        </w:tc>
        <w:tc>
          <w:tcPr>
            <w:tcW w:w="2159" w:type="dxa"/>
            <w:vAlign w:val="top"/>
          </w:tcPr>
          <w:p w:rsidR="00D803EE" w:rsidRDefault="00D803EE" w:rsidP="00D803EE">
            <w:pPr>
              <w:spacing w:after="60"/>
            </w:pPr>
            <w:r>
              <w:t>0.9</w:t>
            </w:r>
          </w:p>
        </w:tc>
        <w:tc>
          <w:tcPr>
            <w:tcW w:w="2159" w:type="dxa"/>
            <w:vAlign w:val="top"/>
          </w:tcPr>
          <w:p w:rsidR="00D803EE" w:rsidRDefault="00D803EE" w:rsidP="00D803EE">
            <w:pPr>
              <w:spacing w:after="60"/>
            </w:pPr>
            <w:r>
              <w:t>1.6</w:t>
            </w:r>
          </w:p>
        </w:tc>
        <w:tc>
          <w:tcPr>
            <w:tcW w:w="2159" w:type="dxa"/>
            <w:vAlign w:val="top"/>
          </w:tcPr>
          <w:p w:rsidR="00D803EE" w:rsidRDefault="00D803EE" w:rsidP="00D803EE">
            <w:pPr>
              <w:spacing w:after="60"/>
            </w:pPr>
            <w:r>
              <w:t>1.0</w:t>
            </w:r>
          </w:p>
        </w:tc>
      </w:tr>
    </w:tbl>
    <w:p w:rsidR="00C741E7" w:rsidRPr="00DE5B35" w:rsidRDefault="00D43846" w:rsidP="00B534CE">
      <w:pPr>
        <w:rPr>
          <w:vanish/>
        </w:rPr>
      </w:pPr>
      <w:r w:rsidRPr="00DE5B35">
        <w:rPr>
          <w:sz w:val="18"/>
        </w:rPr>
        <w:t>Note: totals may not add due to rounding</w:t>
      </w:r>
    </w:p>
    <w:p w:rsidR="00DB7445" w:rsidRDefault="005B2288" w:rsidP="00DB7445">
      <w:pPr>
        <w:pStyle w:val="Appendix1"/>
      </w:pPr>
      <w:bookmarkStart w:id="387" w:name="_Toc467133541"/>
      <w:r>
        <w:lastRenderedPageBreak/>
        <w:t>Text description for graphic</w:t>
      </w:r>
      <w:bookmarkEnd w:id="387"/>
    </w:p>
    <w:p w:rsidR="00DB7445" w:rsidRDefault="00DB7445" w:rsidP="00DB7445"/>
    <w:p w:rsidR="00DB7445" w:rsidRDefault="00DB7445">
      <w:pPr>
        <w:spacing w:before="0" w:after="0"/>
      </w:pPr>
      <w:r>
        <w:br w:type="page"/>
      </w:r>
    </w:p>
    <w:p w:rsidR="00DB7445" w:rsidRDefault="00DB7445" w:rsidP="00DB7445">
      <w:bookmarkStart w:id="388" w:name="Fig_4_1_text"/>
      <w:r>
        <w:lastRenderedPageBreak/>
        <w:t xml:space="preserve">Text description for Figure </w:t>
      </w:r>
      <w:r w:rsidR="00770791">
        <w:t>3</w:t>
      </w:r>
      <w:r>
        <w:t>-1 – ALNSW Outcomes Map</w:t>
      </w:r>
    </w:p>
    <w:bookmarkEnd w:id="388"/>
    <w:p w:rsidR="00DB7445" w:rsidRDefault="00AB7A55" w:rsidP="00DB7445">
      <w:r>
        <w:t xml:space="preserve">Graphic – </w:t>
      </w:r>
      <w:r w:rsidR="005B2288">
        <w:t>Social outcomes include m</w:t>
      </w:r>
      <w:r>
        <w:t xml:space="preserve">obility, </w:t>
      </w:r>
      <w:r w:rsidR="005B2288">
        <w:t>s</w:t>
      </w:r>
      <w:r>
        <w:t xml:space="preserve">elf-esteem, family relationships, social network and well-being and </w:t>
      </w:r>
      <w:r w:rsidR="005B2288">
        <w:t>e</w:t>
      </w:r>
      <w:r>
        <w:t xml:space="preserve">conomic outcomes include </w:t>
      </w:r>
      <w:r w:rsidR="00DB7445">
        <w:t>Education, Employment and Volunteering</w:t>
      </w:r>
      <w:r w:rsidR="005B2288">
        <w:t xml:space="preserve">. Participants are achieving both social and economic outcomes with a </w:t>
      </w:r>
      <w:r>
        <w:t>majority of outcomes being social</w:t>
      </w:r>
      <w:r w:rsidR="00DB7445">
        <w:t xml:space="preserve">. </w:t>
      </w:r>
    </w:p>
    <w:p w:rsidR="00DB7445" w:rsidRPr="001F0CBC" w:rsidRDefault="001F0CBC" w:rsidP="00DB7445">
      <w:pPr>
        <w:rPr>
          <w:rStyle w:val="Hyperlink"/>
        </w:rPr>
      </w:pPr>
      <w:r>
        <w:fldChar w:fldCharType="begin"/>
      </w:r>
      <w:r>
        <w:instrText xml:space="preserve"> HYPERLINK  \l "Fig_4_1_back_to_text" </w:instrText>
      </w:r>
      <w:r>
        <w:fldChar w:fldCharType="separate"/>
      </w:r>
      <w:r w:rsidR="00DB7445" w:rsidRPr="001F0CBC">
        <w:rPr>
          <w:rStyle w:val="Hyperlink"/>
        </w:rPr>
        <w:t>Back to text</w:t>
      </w:r>
    </w:p>
    <w:p w:rsidR="00DB7445" w:rsidRPr="004D685D" w:rsidRDefault="001F0CBC" w:rsidP="00B534CE">
      <w:pPr>
        <w:rPr>
          <w:vanish/>
        </w:rPr>
      </w:pPr>
      <w:r>
        <w:fldChar w:fldCharType="end"/>
      </w:r>
    </w:p>
    <w:bookmarkEnd w:id="224"/>
    <w:p w:rsidR="003615E3" w:rsidRPr="004D685D" w:rsidRDefault="003615E3" w:rsidP="00B534CE">
      <w:pPr>
        <w:sectPr w:rsidR="003615E3" w:rsidRPr="004D685D" w:rsidSect="00C741E7">
          <w:footerReference w:type="even" r:id="rId44"/>
          <w:footerReference w:type="default" r:id="rId45"/>
          <w:pgSz w:w="11907" w:h="16840" w:code="9"/>
          <w:pgMar w:top="1134" w:right="1134" w:bottom="1418" w:left="1417" w:header="272" w:footer="340" w:gutter="0"/>
          <w:cols w:space="708"/>
          <w:docGrid w:linePitch="360"/>
        </w:sectPr>
      </w:pP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rsidR="00B37A4E" w:rsidRPr="004D685D" w:rsidRDefault="00B37A4E" w:rsidP="00B37A4E">
      <w:pPr>
        <w:pStyle w:val="DisclaimerPadding"/>
      </w:pPr>
    </w:p>
    <w:p w:rsidR="00C61E16" w:rsidRPr="004D685D" w:rsidRDefault="00B37A4E" w:rsidP="00B37A4E">
      <w:pPr>
        <w:pStyle w:val="UrbisTableBody0"/>
      </w:pPr>
      <w:r w:rsidRPr="004D685D">
        <w:t>Sydney</w:t>
      </w:r>
      <w:r w:rsidRPr="004D685D">
        <w:br/>
        <w:t xml:space="preserve">Tower 2, Level 23, Darling Park </w:t>
      </w:r>
      <w:r w:rsidRPr="004D685D">
        <w:br/>
        <w:t>201 Sussex Street Sydney, NSW 2000</w:t>
      </w:r>
      <w:r w:rsidRPr="004D685D">
        <w:br/>
        <w:t>telephone +02 8233 9900</w:t>
      </w:r>
      <w:r w:rsidRPr="004D685D">
        <w:br/>
        <w:t>fax +02 8233 9966</w:t>
      </w:r>
    </w:p>
    <w:p w:rsidR="00B37A4E" w:rsidRPr="004D685D" w:rsidRDefault="00B37A4E" w:rsidP="00B37A4E">
      <w:pPr>
        <w:pStyle w:val="UrbisTableBody0"/>
      </w:pPr>
      <w:r w:rsidRPr="004D685D">
        <w:t>Brisbane</w:t>
      </w:r>
      <w:r w:rsidRPr="004D685D">
        <w:br/>
        <w:t>Level 7, 123 Albert Street</w:t>
      </w:r>
      <w:r w:rsidRPr="004D685D">
        <w:br/>
        <w:t>Brisbane, QLD 4000</w:t>
      </w:r>
      <w:r w:rsidRPr="004D685D">
        <w:br/>
        <w:t>t</w:t>
      </w:r>
      <w:r w:rsidR="00611A78" w:rsidRPr="004D685D">
        <w:t>elephone</w:t>
      </w:r>
      <w:r w:rsidRPr="004D685D">
        <w:t xml:space="preserve"> +07 3007 3800</w:t>
      </w:r>
      <w:r w:rsidRPr="004D685D">
        <w:br/>
        <w:t>f</w:t>
      </w:r>
      <w:r w:rsidR="00611A78" w:rsidRPr="004D685D">
        <w:t>ax</w:t>
      </w:r>
      <w:r w:rsidRPr="004D685D">
        <w:t xml:space="preserve"> +07 3007 3811</w:t>
      </w:r>
    </w:p>
    <w:p w:rsidR="00B37A4E" w:rsidRPr="004D685D" w:rsidRDefault="00B37A4E" w:rsidP="00B37A4E">
      <w:pPr>
        <w:pStyle w:val="UrbisTableBody0"/>
      </w:pPr>
      <w:r w:rsidRPr="004D685D">
        <w:t>Melbourne</w:t>
      </w:r>
      <w:r w:rsidRPr="004D685D">
        <w:br/>
        <w:t>Level 12, 120 Collins Street</w:t>
      </w:r>
      <w:r w:rsidRPr="004D685D">
        <w:br/>
      </w:r>
      <w:r w:rsidRPr="00D522A6">
        <w:t>Melbourne, VIC 3000</w:t>
      </w:r>
      <w:r w:rsidRPr="00414325">
        <w:rPr>
          <w:b/>
          <w:color w:val="00314D"/>
          <w:szCs w:val="24"/>
        </w:rPr>
        <w:br/>
      </w:r>
      <w:r w:rsidRPr="004D685D">
        <w:t>t</w:t>
      </w:r>
      <w:r w:rsidR="00611A78" w:rsidRPr="004D685D">
        <w:t>elephone</w:t>
      </w:r>
      <w:r w:rsidRPr="004D685D">
        <w:t xml:space="preserve"> +03 8663 4888</w:t>
      </w:r>
      <w:r w:rsidRPr="004D685D">
        <w:br/>
        <w:t>f</w:t>
      </w:r>
      <w:r w:rsidR="00611A78" w:rsidRPr="004D685D">
        <w:t>ax</w:t>
      </w:r>
      <w:r w:rsidRPr="004D685D">
        <w:t xml:space="preserve"> +03 8663 4999</w:t>
      </w:r>
    </w:p>
    <w:p w:rsidR="00B37A4E" w:rsidRPr="004D685D" w:rsidRDefault="00B37A4E" w:rsidP="00B37A4E">
      <w:pPr>
        <w:pStyle w:val="UrbisTableBody0"/>
      </w:pPr>
      <w:r w:rsidRPr="004D685D">
        <w:t>Perth</w:t>
      </w:r>
      <w:r w:rsidRPr="004D685D">
        <w:br/>
        <w:t>Level 1, 55 St Georges Terrace</w:t>
      </w:r>
      <w:r w:rsidRPr="004D685D">
        <w:br/>
        <w:t>Perth, WA 6000</w:t>
      </w:r>
      <w:r w:rsidRPr="004D685D">
        <w:br/>
        <w:t>t</w:t>
      </w:r>
      <w:r w:rsidR="00611A78" w:rsidRPr="004D685D">
        <w:t>elephone</w:t>
      </w:r>
      <w:r w:rsidRPr="004D685D">
        <w:t xml:space="preserve"> +08 9346 0500</w:t>
      </w:r>
      <w:r w:rsidRPr="004D685D">
        <w:br/>
        <w:t>f</w:t>
      </w:r>
      <w:r w:rsidR="00611A78" w:rsidRPr="004D685D">
        <w:t>ax</w:t>
      </w:r>
      <w:r w:rsidRPr="004D685D">
        <w:t xml:space="preserve"> +08 9221 1779</w:t>
      </w:r>
    </w:p>
    <w:p w:rsidR="00B37A4E" w:rsidRPr="004D685D" w:rsidRDefault="00B37A4E" w:rsidP="00B37A4E">
      <w:pPr>
        <w:pStyle w:val="UrbisTableBody0"/>
      </w:pPr>
      <w:r w:rsidRPr="004D685D">
        <w:t>Australia • Asia • Middle East</w:t>
      </w:r>
      <w:r w:rsidRPr="004D685D">
        <w:br/>
      </w:r>
      <w:r w:rsidR="001237F2" w:rsidRPr="004D685D">
        <w:t xml:space="preserve">web </w:t>
      </w:r>
      <w:hyperlink r:id="rId46" w:history="1">
        <w:r w:rsidR="00FE619D" w:rsidRPr="004D685D">
          <w:rPr>
            <w:rStyle w:val="Hyperlink"/>
          </w:rPr>
          <w:t>urbis.com.au</w:t>
        </w:r>
      </w:hyperlink>
      <w:r w:rsidRPr="004D685D">
        <w:rPr>
          <w:rStyle w:val="Hyperlink"/>
        </w:rPr>
        <w:t xml:space="preserve"> </w:t>
      </w:r>
      <w:r w:rsidRPr="004D685D">
        <w:br/>
        <w:t xml:space="preserve">email </w:t>
      </w:r>
      <w:hyperlink r:id="rId47" w:history="1">
        <w:r w:rsidRPr="004D685D">
          <w:rPr>
            <w:rStyle w:val="Hyperlink"/>
          </w:rPr>
          <w:t>info@urbis.com.au</w:t>
        </w:r>
      </w:hyperlink>
    </w:p>
    <w:sectPr w:rsidR="00B37A4E" w:rsidRPr="004D685D" w:rsidSect="00960B37">
      <w:headerReference w:type="even" r:id="rId48"/>
      <w:headerReference w:type="default" r:id="rId49"/>
      <w:footerReference w:type="even" r:id="rId50"/>
      <w:footerReference w:type="default" r:id="rId51"/>
      <w:pgSz w:w="11907" w:h="16840" w:code="9"/>
      <w:pgMar w:top="1134" w:right="1134" w:bottom="1418" w:left="1417" w:header="272"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0">
      <wne:macro wne:macroName="INSERT_INTRODUCTION.CH_MOD.NOSPACING"/>
    </wne:keymap>
    <wne:keymap wne:kcmPrimary="0231">
      <wne:acd wne:acdName="acd3"/>
    </wne:keymap>
    <wne:keymap wne:kcmPrimary="0232">
      <wne:acd wne:acdName="acd4"/>
    </wne:keymap>
    <wne:keymap wne:kcmPrimary="0233">
      <wne:acd wne:acdName="acd5"/>
    </wne:keymap>
    <wne:keymap wne:kcmPrimary="0234">
      <wne:acd wne:acdName="acd6"/>
    </wne:keymap>
    <wne:keymap wne:kcmPrimary="0236">
      <wne:acd wne:acdName="acd7"/>
    </wne:keymap>
    <wne:keymap wne:kcmPrimary="0237">
      <wne:acd wne:acdName="acd8"/>
    </wne:keymap>
    <wne:keymap wne:kcmPrimary="0238">
      <wne:acd wne:acdName="acd9"/>
    </wne:keymap>
    <wne:keymap wne:kcmPrimary="0239">
      <wne:acd wne:acdName="acd10"/>
    </wne:keymap>
    <wne:keymap wne:kcmPrimary="034E">
      <wne:acd wne:acdName="acd12"/>
    </wne:keymap>
    <wne:keymap wne:kcmPrimary="0430">
      <wne:acd wne:acdName="acd11"/>
    </wne:keymap>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gBIAGUAYQBkACAAMQAgACgAbgBvACAAIwApAA==" wne:acdName="acd3" wne:fciIndexBasedOn="0065"/>
    <wne:acd wne:argValue="AgBIAGUAYQBkACAAMgAgACgAbgBvACAAIwApAA==" wne:acdName="acd4" wne:fciIndexBasedOn="0065"/>
    <wne:acd wne:argValue="AgBIAGUAYQBkACAAMwAgACgAbgBvACAAIwApAA==" wne:acdName="acd5" wne:fciIndexBasedOn="0065"/>
    <wne:acd wne:argValue="AgBIAGUAYQBkACAANAAgACgAbgBvACAAIwApAA==" wne:acdName="acd6" wne:fciIndexBasedOn="0065"/>
    <wne:acd wne:argValue="AQAAADAA" wne:acdName="acd7" wne:fciIndexBasedOn="0065"/>
    <wne:acd wne:argValue="AQAAADYA" wne:acdName="acd8" wne:fciIndexBasedOn="0065"/>
    <wne:acd wne:argValue="AQAAADcA" wne:acdName="acd9" wne:fciIndexBasedOn="0065"/>
    <wne:acd wne:argValue="AQAAADgA" wne:acdName="acd10" wne:fciIndexBasedOn="0065"/>
    <wne:acd wne:argValue="AgBOAG8AcgBtAGEAbAAgAE4AdQBtAGIAZQByAGUAZAA=" wne:acdName="acd11" wne:fciIndexBasedOn="0065"/>
    <wne:acd wne:argValue="AQAAAA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C9" w:rsidRDefault="004B14C9" w:rsidP="00E87B9C">
      <w:r>
        <w:separator/>
      </w:r>
    </w:p>
  </w:endnote>
  <w:endnote w:type="continuationSeparator" w:id="0">
    <w:p w:rsidR="004B14C9" w:rsidRDefault="004B14C9" w:rsidP="00E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ight">
    <w:altName w:val="Arial"/>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lama Cond Bold">
    <w:panose1 w:val="02000000000000000000"/>
    <w:charset w:val="00"/>
    <w:family w:val="auto"/>
    <w:pitch w:val="variable"/>
    <w:sig w:usb0="800000EF" w:usb1="4000204A" w:usb2="00000000" w:usb3="00000000" w:csb0="00000001" w:csb1="00000000"/>
  </w:font>
  <w:font w:name="Gotham-Light">
    <w:altName w:val="Century"/>
    <w:charset w:val="00"/>
    <w:family w:val="auto"/>
    <w:pitch w:val="variable"/>
    <w:sig w:usb0="8000002F" w:usb1="00000048"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528"/>
      <w:gridCol w:w="4269"/>
      <w:gridCol w:w="559"/>
    </w:tblGrid>
    <w:tr w:rsidR="004B14C9" w:rsidRPr="0031221E" w:rsidTr="001301C0">
      <w:trPr>
        <w:cnfStyle w:val="100000000000" w:firstRow="1" w:lastRow="0" w:firstColumn="0" w:lastColumn="0" w:oddVBand="0" w:evenVBand="0" w:oddHBand="0" w:evenHBand="0" w:firstRowFirstColumn="0" w:firstRowLastColumn="0" w:lastRowFirstColumn="0" w:lastRowLastColumn="0"/>
        <w:trHeight w:val="416"/>
        <w:tblHeader/>
      </w:trPr>
      <w:tc>
        <w:tcPr>
          <w:tcW w:w="4687"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404" w:type="dxa"/>
          <w:vAlign w:val="center"/>
        </w:tcPr>
        <w:p w:rsidR="004B14C9" w:rsidRPr="0031221E" w:rsidRDefault="004F24B9" w:rsidP="00817195">
          <w:pPr>
            <w:pStyle w:val="FooterFileName"/>
            <w:spacing w:after="0" w:line="240" w:lineRule="auto"/>
            <w:jc w:val="right"/>
          </w:pPr>
          <w:fldSimple w:instr=" STYLEREF  &quot;Head 1&quot;  \* MERGEFORMAT ">
            <w:r w:rsidR="00101D10">
              <w:rPr>
                <w:noProof/>
              </w:rPr>
              <w:t>Introduction</w:t>
            </w:r>
          </w:fldSimple>
        </w:p>
      </w:tc>
      <w:tc>
        <w:tcPr>
          <w:tcW w:w="567"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7</w:t>
          </w:r>
          <w:r>
            <w:rPr>
              <w:rStyle w:val="PageNumber"/>
            </w:rPr>
            <w:fldChar w:fldCharType="end"/>
          </w:r>
        </w:p>
      </w:tc>
    </w:tr>
  </w:tbl>
  <w:p w:rsidR="004B14C9" w:rsidRPr="0031221E" w:rsidRDefault="004B14C9" w:rsidP="003E0415">
    <w:pPr>
      <w:pStyle w:val="FooterFileNam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5"/>
      <w:gridCol w:w="4184"/>
      <w:gridCol w:w="4607"/>
    </w:tblGrid>
    <w:tr w:rsidR="004B14C9" w:rsidRPr="0031221E" w:rsidTr="001301C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24</w:t>
          </w:r>
          <w:r>
            <w:rPr>
              <w:rStyle w:val="PageNumber"/>
            </w:rPr>
            <w:fldChar w:fldCharType="end"/>
          </w:r>
        </w:p>
      </w:tc>
      <w:tc>
        <w:tcPr>
          <w:tcW w:w="4246" w:type="dxa"/>
          <w:tcBorders>
            <w:left w:val="nil"/>
          </w:tcBorders>
          <w:vAlign w:val="center"/>
        </w:tcPr>
        <w:p w:rsidR="004B14C9" w:rsidRPr="0031221E" w:rsidRDefault="004B14C9" w:rsidP="00817195">
          <w:pPr>
            <w:pStyle w:val="FooterFileName"/>
            <w:spacing w:after="0" w:line="240" w:lineRule="auto"/>
            <w:ind w:left="185"/>
            <w:rPr>
              <w:b w:val="0"/>
            </w:rPr>
          </w:pPr>
          <w:r>
            <w:rPr>
              <w:noProof/>
            </w:rPr>
            <w:fldChar w:fldCharType="begin"/>
          </w:r>
          <w:r>
            <w:rPr>
              <w:noProof/>
            </w:rPr>
            <w:instrText xml:space="preserve"> STYLEREF  "Heading 1"  \* MERGEFORMAT </w:instrText>
          </w:r>
          <w:r>
            <w:rPr>
              <w:noProof/>
            </w:rPr>
            <w:fldChar w:fldCharType="separate"/>
          </w:r>
          <w:r w:rsidR="00101D10">
            <w:rPr>
              <w:noProof/>
            </w:rPr>
            <w:t>Disclaimer</w:t>
          </w:r>
          <w:r>
            <w:rPr>
              <w:noProof/>
            </w:rPr>
            <w:fldChar w:fldCharType="end"/>
          </w:r>
          <w:r w:rsidRPr="0031221E">
            <w:t xml:space="preserve"> </w:t>
          </w:r>
        </w:p>
      </w:tc>
      <w:tc>
        <w:tcPr>
          <w:tcW w:w="4684"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535"/>
      <w:gridCol w:w="4262"/>
      <w:gridCol w:w="559"/>
    </w:tblGrid>
    <w:tr w:rsidR="004B14C9" w:rsidRPr="0031221E" w:rsidTr="001301C0">
      <w:trPr>
        <w:cnfStyle w:val="100000000000" w:firstRow="1" w:lastRow="0" w:firstColumn="0" w:lastColumn="0" w:oddVBand="0" w:evenVBand="0" w:oddHBand="0" w:evenHBand="0" w:firstRowFirstColumn="0" w:firstRowLastColumn="0" w:lastRowFirstColumn="0" w:lastRowLastColumn="0"/>
        <w:trHeight w:val="416"/>
        <w:tblHeader/>
      </w:trPr>
      <w:tc>
        <w:tcPr>
          <w:tcW w:w="4687"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404" w:type="dxa"/>
          <w:vAlign w:val="center"/>
        </w:tcPr>
        <w:p w:rsidR="004B14C9" w:rsidRPr="0031221E" w:rsidRDefault="004F24B9" w:rsidP="00817195">
          <w:pPr>
            <w:pStyle w:val="FooterFileName"/>
            <w:spacing w:after="0" w:line="240" w:lineRule="auto"/>
            <w:jc w:val="right"/>
          </w:pPr>
          <w:fldSimple w:instr=" STYLEREF  &quot;Heading 1&quot;  \* MERGEFORMAT ">
            <w:r w:rsidR="00101D10">
              <w:rPr>
                <w:noProof/>
              </w:rPr>
              <w:t>Cost benefit analysis</w:t>
            </w:r>
          </w:fldSimple>
        </w:p>
      </w:tc>
      <w:tc>
        <w:tcPr>
          <w:tcW w:w="567"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23</w:t>
          </w:r>
          <w:r>
            <w:rPr>
              <w:rStyle w:val="PageNumber"/>
            </w:rPr>
            <w:fldChar w:fldCharType="end"/>
          </w:r>
        </w:p>
      </w:tc>
    </w:tr>
  </w:tbl>
  <w:p w:rsidR="004B14C9" w:rsidRPr="0031221E" w:rsidRDefault="004B14C9" w:rsidP="003E0415">
    <w:pPr>
      <w:pStyle w:val="FooterFileNam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5"/>
      <w:gridCol w:w="4182"/>
      <w:gridCol w:w="4609"/>
    </w:tblGrid>
    <w:tr w:rsidR="004B14C9" w:rsidRPr="0031221E" w:rsidTr="001301C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26</w:t>
          </w:r>
          <w:r>
            <w:rPr>
              <w:rStyle w:val="PageNumber"/>
            </w:rPr>
            <w:fldChar w:fldCharType="end"/>
          </w:r>
        </w:p>
      </w:tc>
      <w:tc>
        <w:tcPr>
          <w:tcW w:w="4246" w:type="dxa"/>
          <w:tcBorders>
            <w:left w:val="nil"/>
          </w:tcBorders>
          <w:vAlign w:val="center"/>
        </w:tcPr>
        <w:p w:rsidR="004B14C9" w:rsidRPr="0031221E" w:rsidRDefault="004B14C9" w:rsidP="00817195">
          <w:pPr>
            <w:pStyle w:val="FooterFileName"/>
            <w:spacing w:after="0" w:line="240" w:lineRule="auto"/>
            <w:ind w:left="185"/>
            <w:rPr>
              <w:b w:val="0"/>
            </w:rPr>
          </w:pPr>
          <w:r>
            <w:rPr>
              <w:noProof/>
            </w:rPr>
            <w:t>Appendix</w:t>
          </w:r>
          <w:r w:rsidRPr="0031221E">
            <w:t xml:space="preserve"> </w:t>
          </w:r>
        </w:p>
      </w:tc>
      <w:tc>
        <w:tcPr>
          <w:tcW w:w="4684"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528"/>
      <w:gridCol w:w="4261"/>
      <w:gridCol w:w="567"/>
    </w:tblGrid>
    <w:tr w:rsidR="004B14C9" w:rsidRPr="0031221E" w:rsidTr="001301C0">
      <w:trPr>
        <w:cnfStyle w:val="100000000000" w:firstRow="1" w:lastRow="0" w:firstColumn="0" w:lastColumn="0" w:oddVBand="0" w:evenVBand="0" w:oddHBand="0" w:evenHBand="0" w:firstRowFirstColumn="0" w:firstRowLastColumn="0" w:lastRowFirstColumn="0" w:lastRowLastColumn="0"/>
        <w:trHeight w:val="416"/>
        <w:tblHeader/>
      </w:trPr>
      <w:tc>
        <w:tcPr>
          <w:tcW w:w="4687"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404" w:type="dxa"/>
          <w:vAlign w:val="center"/>
        </w:tcPr>
        <w:p w:rsidR="004B14C9" w:rsidRPr="0031221E" w:rsidRDefault="004B14C9" w:rsidP="00817195">
          <w:pPr>
            <w:pStyle w:val="FooterFileName"/>
            <w:spacing w:after="0" w:line="240" w:lineRule="auto"/>
            <w:jc w:val="right"/>
          </w:pPr>
          <w:r>
            <w:t>Appendix</w:t>
          </w:r>
        </w:p>
      </w:tc>
      <w:tc>
        <w:tcPr>
          <w:tcW w:w="567"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25</w:t>
          </w:r>
          <w:r>
            <w:rPr>
              <w:rStyle w:val="PageNumber"/>
            </w:rPr>
            <w:fldChar w:fldCharType="end"/>
          </w:r>
        </w:p>
      </w:tc>
    </w:tr>
  </w:tbl>
  <w:p w:rsidR="004B14C9" w:rsidRPr="0031221E" w:rsidRDefault="004B14C9" w:rsidP="003E0415">
    <w:pPr>
      <w:pStyle w:val="FooterFileNam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7"/>
      <w:gridCol w:w="4246"/>
      <w:gridCol w:w="9362"/>
    </w:tblGrid>
    <w:tr w:rsidR="004B14C9" w:rsidRPr="0031221E" w:rsidTr="00C6639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30</w:t>
          </w:r>
          <w:r>
            <w:rPr>
              <w:rStyle w:val="PageNumber"/>
            </w:rPr>
            <w:fldChar w:fldCharType="end"/>
          </w:r>
        </w:p>
      </w:tc>
      <w:tc>
        <w:tcPr>
          <w:tcW w:w="4246" w:type="dxa"/>
          <w:tcBorders>
            <w:left w:val="nil"/>
          </w:tcBorders>
          <w:vAlign w:val="center"/>
        </w:tcPr>
        <w:p w:rsidR="004B14C9" w:rsidRPr="0031221E" w:rsidRDefault="004B14C9" w:rsidP="00817195">
          <w:pPr>
            <w:pStyle w:val="FooterFileName"/>
            <w:spacing w:after="0" w:line="240" w:lineRule="auto"/>
            <w:ind w:left="185"/>
            <w:rPr>
              <w:b w:val="0"/>
            </w:rPr>
          </w:pPr>
          <w:r>
            <w:rPr>
              <w:noProof/>
            </w:rPr>
            <w:t>Appendix</w:t>
          </w:r>
          <w:r w:rsidRPr="0031221E">
            <w:t xml:space="preserve"> </w:t>
          </w:r>
        </w:p>
      </w:tc>
      <w:tc>
        <w:tcPr>
          <w:tcW w:w="9362"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Description w:val="Footer"/>
    </w:tblPr>
    <w:tblGrid>
      <w:gridCol w:w="4687"/>
      <w:gridCol w:w="8921"/>
      <w:gridCol w:w="567"/>
    </w:tblGrid>
    <w:tr w:rsidR="004B14C9" w:rsidRPr="0031221E" w:rsidTr="00C66390">
      <w:trPr>
        <w:cnfStyle w:val="100000000000" w:firstRow="1" w:lastRow="0" w:firstColumn="0" w:lastColumn="0" w:oddVBand="0" w:evenVBand="0" w:oddHBand="0" w:evenHBand="0" w:firstRowFirstColumn="0" w:firstRowLastColumn="0" w:lastRowFirstColumn="0" w:lastRowLastColumn="0"/>
        <w:trHeight w:val="416"/>
        <w:tblHeader/>
      </w:trPr>
      <w:tc>
        <w:tcPr>
          <w:tcW w:w="4687"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8921" w:type="dxa"/>
          <w:vAlign w:val="center"/>
        </w:tcPr>
        <w:p w:rsidR="004B14C9" w:rsidRPr="0031221E" w:rsidRDefault="004B14C9" w:rsidP="00817195">
          <w:pPr>
            <w:pStyle w:val="FooterFileName"/>
            <w:spacing w:after="0" w:line="240" w:lineRule="auto"/>
            <w:jc w:val="right"/>
          </w:pPr>
          <w:r>
            <w:t>Appendix</w:t>
          </w:r>
        </w:p>
      </w:tc>
      <w:tc>
        <w:tcPr>
          <w:tcW w:w="567"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29</w:t>
          </w:r>
          <w:r>
            <w:rPr>
              <w:rStyle w:val="PageNumber"/>
            </w:rPr>
            <w:fldChar w:fldCharType="end"/>
          </w:r>
        </w:p>
      </w:tc>
    </w:tr>
  </w:tbl>
  <w:p w:rsidR="004B14C9" w:rsidRPr="0031221E" w:rsidRDefault="004B14C9" w:rsidP="003E0415">
    <w:pPr>
      <w:pStyle w:val="FooterFileNam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7"/>
      <w:gridCol w:w="2127"/>
      <w:gridCol w:w="6662"/>
    </w:tblGrid>
    <w:tr w:rsidR="004B14C9" w:rsidRPr="0031221E" w:rsidTr="00C6639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32</w:t>
          </w:r>
          <w:r>
            <w:rPr>
              <w:rStyle w:val="PageNumber"/>
            </w:rPr>
            <w:fldChar w:fldCharType="end"/>
          </w:r>
        </w:p>
      </w:tc>
      <w:tc>
        <w:tcPr>
          <w:tcW w:w="2127" w:type="dxa"/>
          <w:tcBorders>
            <w:left w:val="nil"/>
          </w:tcBorders>
          <w:vAlign w:val="center"/>
        </w:tcPr>
        <w:p w:rsidR="004B14C9" w:rsidRPr="0031221E" w:rsidRDefault="004B14C9" w:rsidP="00817195">
          <w:pPr>
            <w:pStyle w:val="FooterFileName"/>
            <w:spacing w:after="0" w:line="240" w:lineRule="auto"/>
            <w:ind w:left="185"/>
            <w:rPr>
              <w:b w:val="0"/>
            </w:rPr>
          </w:pPr>
          <w:r>
            <w:rPr>
              <w:noProof/>
            </w:rPr>
            <w:t>Appendix</w:t>
          </w:r>
          <w:r w:rsidRPr="0031221E">
            <w:t xml:space="preserve"> </w:t>
          </w:r>
        </w:p>
      </w:tc>
      <w:tc>
        <w:tcPr>
          <w:tcW w:w="6662"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Description w:val="Footer"/>
    </w:tblPr>
    <w:tblGrid>
      <w:gridCol w:w="4687"/>
      <w:gridCol w:w="4669"/>
      <w:gridCol w:w="567"/>
    </w:tblGrid>
    <w:tr w:rsidR="004B14C9" w:rsidRPr="0031221E" w:rsidTr="00C66390">
      <w:trPr>
        <w:cnfStyle w:val="100000000000" w:firstRow="1" w:lastRow="0" w:firstColumn="0" w:lastColumn="0" w:oddVBand="0" w:evenVBand="0" w:oddHBand="0" w:evenHBand="0" w:firstRowFirstColumn="0" w:firstRowLastColumn="0" w:lastRowFirstColumn="0" w:lastRowLastColumn="0"/>
        <w:trHeight w:val="416"/>
        <w:tblHeader/>
      </w:trPr>
      <w:tc>
        <w:tcPr>
          <w:tcW w:w="4687"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669" w:type="dxa"/>
          <w:vAlign w:val="center"/>
        </w:tcPr>
        <w:p w:rsidR="004B14C9" w:rsidRPr="0031221E" w:rsidRDefault="004B14C9" w:rsidP="00817195">
          <w:pPr>
            <w:pStyle w:val="FooterFileName"/>
            <w:spacing w:after="0" w:line="240" w:lineRule="auto"/>
            <w:jc w:val="right"/>
          </w:pPr>
          <w:r>
            <w:t>Appendix</w:t>
          </w:r>
        </w:p>
      </w:tc>
      <w:tc>
        <w:tcPr>
          <w:tcW w:w="567"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31</w:t>
          </w:r>
          <w:r>
            <w:rPr>
              <w:rStyle w:val="PageNumber"/>
            </w:rPr>
            <w:fldChar w:fldCharType="end"/>
          </w:r>
        </w:p>
      </w:tc>
    </w:tr>
  </w:tbl>
  <w:p w:rsidR="004B14C9" w:rsidRPr="0031221E" w:rsidRDefault="004B14C9" w:rsidP="003E0415">
    <w:pPr>
      <w:pStyle w:val="FooterFileNam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6A6B25" w:rsidRDefault="004B14C9" w:rsidP="006A6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970C9E" w:rsidRDefault="004B14C9" w:rsidP="00970C9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6A6B25" w:rsidRDefault="004B14C9" w:rsidP="006A6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94796D" w:rsidRDefault="004B14C9" w:rsidP="0094796D">
    <w:pPr>
      <w:pStyle w:val="FooterFileName"/>
      <w:jc w:val="right"/>
      <w:rPr>
        <w:b/>
      </w:rPr>
    </w:pPr>
    <w:r w:rsidRPr="0094796D">
      <w:rPr>
        <w:b/>
      </w:rPr>
      <w:fldChar w:fldCharType="begin"/>
    </w:r>
    <w:r w:rsidRPr="0094796D">
      <w:rPr>
        <w:b/>
      </w:rPr>
      <w:instrText xml:space="preserve"> FILENAME   \* MERGEFORMAT </w:instrText>
    </w:r>
    <w:r w:rsidRPr="0094796D">
      <w:rPr>
        <w:b/>
      </w:rPr>
      <w:fldChar w:fldCharType="separate"/>
    </w:r>
    <w:r>
      <w:rPr>
        <w:b/>
        <w:noProof/>
      </w:rPr>
      <w:t>Evaluation of the National Palliative Care Strategy 2010 Final Report</w:t>
    </w:r>
    <w:r w:rsidRPr="0094796D">
      <w:rPr>
        <w:b/>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94796D" w:rsidRDefault="004B14C9" w:rsidP="002F4376">
    <w:pPr>
      <w:pStyle w:val="FooterFileName"/>
      <w:rPr>
        <w:b/>
      </w:rPr>
    </w:pPr>
    <w:r w:rsidRPr="0094796D">
      <w:rPr>
        <w:b/>
      </w:rPr>
      <w:fldChar w:fldCharType="begin"/>
    </w:r>
    <w:r w:rsidRPr="0094796D">
      <w:rPr>
        <w:b/>
      </w:rPr>
      <w:instrText xml:space="preserve"> FILENAME   \* MERGEFORMAT </w:instrText>
    </w:r>
    <w:r w:rsidRPr="0094796D">
      <w:rPr>
        <w:b/>
      </w:rPr>
      <w:fldChar w:fldCharType="separate"/>
    </w:r>
    <w:r w:rsidRPr="0094796D">
      <w:rPr>
        <w:b/>
        <w:noProof/>
      </w:rPr>
      <w:t>Evaluation of the National Palliative Care Strategy 2010 Final Report</w:t>
    </w:r>
    <w:r w:rsidRPr="0094796D">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2"/>
      <w:gridCol w:w="4184"/>
      <w:gridCol w:w="4610"/>
    </w:tblGrid>
    <w:tr w:rsidR="004B14C9" w:rsidRPr="0031221E" w:rsidTr="001301C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p>
      </w:tc>
      <w:tc>
        <w:tcPr>
          <w:tcW w:w="4246" w:type="dxa"/>
          <w:tcBorders>
            <w:left w:val="nil"/>
          </w:tcBorders>
          <w:vAlign w:val="center"/>
        </w:tcPr>
        <w:p w:rsidR="004B14C9" w:rsidRPr="0031221E" w:rsidRDefault="004F24B9" w:rsidP="00817195">
          <w:pPr>
            <w:pStyle w:val="FooterFileName"/>
            <w:spacing w:after="0" w:line="240" w:lineRule="auto"/>
            <w:ind w:left="185"/>
            <w:rPr>
              <w:b w:val="0"/>
            </w:rPr>
          </w:pPr>
          <w:fldSimple w:instr=" STYLEREF  &quot;Heading 1&quot;  \* MERGEFORMAT ">
            <w:r w:rsidR="004B14C9">
              <w:rPr>
                <w:noProof/>
              </w:rPr>
              <w:t>Executive Summary</w:t>
            </w:r>
          </w:fldSimple>
        </w:p>
      </w:tc>
      <w:tc>
        <w:tcPr>
          <w:tcW w:w="4684"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530"/>
      <w:gridCol w:w="4267"/>
      <w:gridCol w:w="559"/>
    </w:tblGrid>
    <w:tr w:rsidR="004B14C9" w:rsidRPr="0031221E" w:rsidTr="004B14C9">
      <w:trPr>
        <w:cnfStyle w:val="100000000000" w:firstRow="1" w:lastRow="0" w:firstColumn="0" w:lastColumn="0" w:oddVBand="0" w:evenVBand="0" w:oddHBand="0" w:evenHBand="0" w:firstRowFirstColumn="0" w:firstRowLastColumn="0" w:lastRowFirstColumn="0" w:lastRowLastColumn="0"/>
        <w:trHeight w:val="416"/>
        <w:tblHeader/>
      </w:trPr>
      <w:tc>
        <w:tcPr>
          <w:tcW w:w="4530"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267" w:type="dxa"/>
          <w:vAlign w:val="center"/>
        </w:tcPr>
        <w:p w:rsidR="004B14C9" w:rsidRPr="0031221E" w:rsidRDefault="004F24B9" w:rsidP="00817195">
          <w:pPr>
            <w:pStyle w:val="FooterFileName"/>
            <w:spacing w:after="0" w:line="240" w:lineRule="auto"/>
            <w:jc w:val="right"/>
          </w:pPr>
          <w:fldSimple w:instr=" STYLEREF  &quot;Heading 1&quot;  \* MERGEFORMAT ">
            <w:r w:rsidR="00101D10">
              <w:rPr>
                <w:noProof/>
              </w:rPr>
              <w:t>Acronyms and Definitions</w:t>
            </w:r>
          </w:fldSimple>
        </w:p>
      </w:tc>
      <w:tc>
        <w:tcPr>
          <w:tcW w:w="559"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1</w:t>
          </w:r>
          <w:r>
            <w:rPr>
              <w:rStyle w:val="PageNumber"/>
            </w:rPr>
            <w:fldChar w:fldCharType="end"/>
          </w:r>
        </w:p>
      </w:tc>
    </w:tr>
  </w:tbl>
  <w:p w:rsidR="004B14C9" w:rsidRPr="0031221E" w:rsidRDefault="004B14C9" w:rsidP="003E0415">
    <w:pPr>
      <w:pStyle w:val="FooterFileName"/>
    </w:pPr>
    <w:bookmarkStart w:id="23" w:name="ToF"/>
    <w:bookmarkStart w:id="24" w:name="_Toc169068893"/>
    <w:bookmarkStart w:id="25" w:name="_Toc169347515"/>
    <w:bookmarkEnd w:id="23"/>
    <w:bookmarkEnd w:id="24"/>
    <w:bookmarkEnd w:id="2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2"/>
      <w:gridCol w:w="4184"/>
      <w:gridCol w:w="4610"/>
    </w:tblGrid>
    <w:tr w:rsidR="004B14C9" w:rsidRPr="0031221E" w:rsidTr="001301C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2</w:t>
          </w:r>
          <w:r>
            <w:rPr>
              <w:rStyle w:val="PageNumber"/>
            </w:rPr>
            <w:fldChar w:fldCharType="end"/>
          </w:r>
        </w:p>
      </w:tc>
      <w:tc>
        <w:tcPr>
          <w:tcW w:w="4246" w:type="dxa"/>
          <w:tcBorders>
            <w:left w:val="nil"/>
          </w:tcBorders>
          <w:vAlign w:val="center"/>
        </w:tcPr>
        <w:p w:rsidR="004B14C9" w:rsidRPr="0031221E" w:rsidRDefault="004F24B9" w:rsidP="00817195">
          <w:pPr>
            <w:pStyle w:val="FooterFileName"/>
            <w:spacing w:after="0" w:line="240" w:lineRule="auto"/>
            <w:ind w:left="185"/>
            <w:rPr>
              <w:b w:val="0"/>
            </w:rPr>
          </w:pPr>
          <w:fldSimple w:instr=" STYLEREF  &quot;Heading 1&quot;  \* MERGEFORMAT ">
            <w:r w:rsidR="00101D10">
              <w:rPr>
                <w:noProof/>
              </w:rPr>
              <w:t>Executive Summary</w:t>
            </w:r>
          </w:fldSimple>
        </w:p>
      </w:tc>
      <w:tc>
        <w:tcPr>
          <w:tcW w:w="4684"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4530"/>
      <w:gridCol w:w="4267"/>
      <w:gridCol w:w="559"/>
    </w:tblGrid>
    <w:tr w:rsidR="004B14C9" w:rsidRPr="0031221E" w:rsidTr="004B14C9">
      <w:trPr>
        <w:cnfStyle w:val="100000000000" w:firstRow="1" w:lastRow="0" w:firstColumn="0" w:lastColumn="0" w:oddVBand="0" w:evenVBand="0" w:oddHBand="0" w:evenHBand="0" w:firstRowFirstColumn="0" w:firstRowLastColumn="0" w:lastRowFirstColumn="0" w:lastRowLastColumn="0"/>
        <w:trHeight w:val="416"/>
        <w:tblHeader/>
      </w:trPr>
      <w:tc>
        <w:tcPr>
          <w:tcW w:w="4530" w:type="dxa"/>
          <w:vAlign w:val="center"/>
        </w:tcPr>
        <w:p w:rsidR="004B14C9" w:rsidRPr="0031221E" w:rsidRDefault="004F24B9" w:rsidP="00817195">
          <w:pPr>
            <w:pStyle w:val="FooterFileName"/>
            <w:tabs>
              <w:tab w:val="left" w:pos="1703"/>
            </w:tabs>
            <w:spacing w:after="0" w:line="240" w:lineRule="auto"/>
          </w:pPr>
          <w:fldSimple w:instr=" FILENAME   \* MERGEFORMAT ">
            <w:r w:rsidR="004B14C9">
              <w:rPr>
                <w:noProof/>
              </w:rPr>
              <w:t>Ability Links Cost Benefit Analysis</w:t>
            </w:r>
          </w:fldSimple>
        </w:p>
      </w:tc>
      <w:tc>
        <w:tcPr>
          <w:tcW w:w="4267" w:type="dxa"/>
          <w:vAlign w:val="center"/>
        </w:tcPr>
        <w:p w:rsidR="004B14C9" w:rsidRPr="0031221E" w:rsidRDefault="004F24B9" w:rsidP="00817195">
          <w:pPr>
            <w:pStyle w:val="FooterFileName"/>
            <w:spacing w:after="0" w:line="240" w:lineRule="auto"/>
            <w:jc w:val="right"/>
          </w:pPr>
          <w:fldSimple w:instr=" STYLEREF  &quot;Heading 1&quot;  \* MERGEFORMAT ">
            <w:r w:rsidR="00101D10">
              <w:rPr>
                <w:noProof/>
              </w:rPr>
              <w:t>Executive Summary</w:t>
            </w:r>
          </w:fldSimple>
        </w:p>
      </w:tc>
      <w:tc>
        <w:tcPr>
          <w:tcW w:w="559" w:type="dxa"/>
          <w:vAlign w:val="center"/>
        </w:tcPr>
        <w:p w:rsidR="004B14C9" w:rsidRPr="0031221E" w:rsidRDefault="004B14C9" w:rsidP="00817195">
          <w:pPr>
            <w:pStyle w:val="FooterFileName"/>
            <w:spacing w:after="0" w:line="240" w:lineRule="auto"/>
            <w:ind w:left="200"/>
            <w:jc w:val="right"/>
            <w:rPr>
              <w:b w:val="0"/>
            </w:rPr>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5</w:t>
          </w:r>
          <w:r>
            <w:rPr>
              <w:rStyle w:val="PageNumber"/>
            </w:rPr>
            <w:fldChar w:fldCharType="end"/>
          </w:r>
        </w:p>
      </w:tc>
    </w:tr>
  </w:tbl>
  <w:p w:rsidR="004B14C9" w:rsidRPr="0031221E" w:rsidRDefault="004B14C9" w:rsidP="003E0415">
    <w:pPr>
      <w:pStyle w:val="FooterFileNam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Description w:val="Footer"/>
    </w:tblPr>
    <w:tblGrid>
      <w:gridCol w:w="562"/>
      <w:gridCol w:w="4186"/>
      <w:gridCol w:w="4608"/>
    </w:tblGrid>
    <w:tr w:rsidR="004B14C9" w:rsidRPr="0031221E" w:rsidTr="001301C0">
      <w:trPr>
        <w:cnfStyle w:val="100000000000" w:firstRow="1" w:lastRow="0" w:firstColumn="0" w:lastColumn="0" w:oddVBand="0" w:evenVBand="0" w:oddHBand="0" w:evenHBand="0" w:firstRowFirstColumn="0" w:firstRowLastColumn="0" w:lastRowFirstColumn="0" w:lastRowLastColumn="0"/>
        <w:tblHeader/>
      </w:trPr>
      <w:tc>
        <w:tcPr>
          <w:tcW w:w="567" w:type="dxa"/>
          <w:vAlign w:val="center"/>
        </w:tcPr>
        <w:p w:rsidR="004B14C9" w:rsidRPr="0031221E" w:rsidRDefault="004B14C9" w:rsidP="00817195">
          <w:pPr>
            <w:pStyle w:val="FooterFileName"/>
            <w:spacing w:after="0" w:line="240" w:lineRule="auto"/>
          </w:pPr>
          <w:r>
            <w:rPr>
              <w:rStyle w:val="PageNumber"/>
            </w:rPr>
            <w:fldChar w:fldCharType="begin"/>
          </w:r>
          <w:r>
            <w:rPr>
              <w:rStyle w:val="PageNumber"/>
            </w:rPr>
            <w:instrText xml:space="preserve"> PAGE  \* Arabic  \* MERGEFORMAT </w:instrText>
          </w:r>
          <w:r>
            <w:rPr>
              <w:rStyle w:val="PageNumber"/>
            </w:rPr>
            <w:fldChar w:fldCharType="separate"/>
          </w:r>
          <w:r w:rsidR="00101D10">
            <w:rPr>
              <w:rStyle w:val="PageNumber"/>
              <w:noProof/>
            </w:rPr>
            <w:t>8</w:t>
          </w:r>
          <w:r>
            <w:rPr>
              <w:rStyle w:val="PageNumber"/>
            </w:rPr>
            <w:fldChar w:fldCharType="end"/>
          </w:r>
        </w:p>
      </w:tc>
      <w:tc>
        <w:tcPr>
          <w:tcW w:w="4246" w:type="dxa"/>
          <w:tcBorders>
            <w:left w:val="nil"/>
          </w:tcBorders>
          <w:vAlign w:val="center"/>
        </w:tcPr>
        <w:p w:rsidR="004B14C9" w:rsidRPr="0031221E" w:rsidRDefault="00C01D54" w:rsidP="00817195">
          <w:pPr>
            <w:pStyle w:val="FooterFileName"/>
            <w:spacing w:after="0" w:line="240" w:lineRule="auto"/>
            <w:ind w:left="185"/>
            <w:rPr>
              <w:b w:val="0"/>
            </w:rPr>
          </w:pPr>
          <w:r>
            <w:rPr>
              <w:noProof/>
            </w:rPr>
            <w:fldChar w:fldCharType="begin"/>
          </w:r>
          <w:r>
            <w:rPr>
              <w:noProof/>
            </w:rPr>
            <w:instrText xml:space="preserve"> STYLEREF  "Head 1"  \* MERGEFORMAT </w:instrText>
          </w:r>
          <w:r>
            <w:rPr>
              <w:noProof/>
            </w:rPr>
            <w:fldChar w:fldCharType="separate"/>
          </w:r>
          <w:r w:rsidR="00101D10">
            <w:rPr>
              <w:noProof/>
            </w:rPr>
            <w:t>Introduction</w:t>
          </w:r>
          <w:r>
            <w:rPr>
              <w:noProof/>
            </w:rPr>
            <w:fldChar w:fldCharType="end"/>
          </w:r>
          <w:r w:rsidR="004B14C9" w:rsidRPr="0031221E">
            <w:t xml:space="preserve"> </w:t>
          </w:r>
        </w:p>
      </w:tc>
      <w:tc>
        <w:tcPr>
          <w:tcW w:w="4684" w:type="dxa"/>
          <w:vAlign w:val="center"/>
        </w:tcPr>
        <w:p w:rsidR="004B14C9" w:rsidRPr="0031221E" w:rsidRDefault="004F24B9" w:rsidP="00817195">
          <w:pPr>
            <w:pStyle w:val="FooterFileName"/>
            <w:spacing w:after="0" w:line="240" w:lineRule="auto"/>
            <w:jc w:val="right"/>
          </w:pPr>
          <w:fldSimple w:instr=" FILENAME   \* MERGEFORMAT ">
            <w:r w:rsidR="004B14C9">
              <w:rPr>
                <w:noProof/>
              </w:rPr>
              <w:t>Ability Links Cost Benefit Analysis</w:t>
            </w:r>
          </w:fldSimple>
        </w:p>
      </w:tc>
    </w:tr>
  </w:tbl>
  <w:p w:rsidR="004B14C9" w:rsidRPr="0031221E" w:rsidRDefault="004B14C9" w:rsidP="00E359FD">
    <w:pPr>
      <w:pStyle w:val="FooterFileNam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C9" w:rsidRDefault="004B14C9" w:rsidP="00E87B9C">
      <w:r>
        <w:separator/>
      </w:r>
    </w:p>
  </w:footnote>
  <w:footnote w:type="continuationSeparator" w:id="0">
    <w:p w:rsidR="004B14C9" w:rsidRDefault="004B14C9" w:rsidP="00E87B9C">
      <w:r>
        <w:continuationSeparator/>
      </w:r>
    </w:p>
  </w:footnote>
  <w:footnote w:id="1">
    <w:p w:rsidR="004B14C9" w:rsidRPr="00583ACC" w:rsidRDefault="004B14C9" w:rsidP="00583ACC">
      <w:r w:rsidRPr="00583ACC">
        <w:rPr>
          <w:rStyle w:val="FootnoteReference"/>
        </w:rPr>
        <w:footnoteRef/>
      </w:r>
      <w:r w:rsidRPr="00583ACC">
        <w:t xml:space="preserve"> Program costs are presented as combined costs for both ALNSW and ELNSW. Program costs were separated by ALNSW and ELNSW by the proportion of Linkers in each program.</w:t>
      </w:r>
    </w:p>
  </w:footnote>
  <w:footnote w:id="2">
    <w:p w:rsidR="004B14C9" w:rsidRPr="0012750B" w:rsidRDefault="004B14C9" w:rsidP="00D14BF8">
      <w:pPr>
        <w:pStyle w:val="FootnoteText"/>
      </w:pPr>
      <w:r w:rsidRPr="0012750B">
        <w:rPr>
          <w:rStyle w:val="FootnoteReference"/>
        </w:rPr>
        <w:footnoteRef/>
      </w:r>
      <w:r w:rsidRPr="0012750B">
        <w:t xml:space="preserve"> Alonso F., 2002, </w:t>
      </w:r>
      <w:proofErr w:type="gramStart"/>
      <w:r w:rsidRPr="00D803EE">
        <w:rPr>
          <w:b/>
        </w:rPr>
        <w:t>The</w:t>
      </w:r>
      <w:proofErr w:type="gramEnd"/>
      <w:r w:rsidRPr="00D803EE">
        <w:rPr>
          <w:b/>
        </w:rPr>
        <w:t xml:space="preserve"> benefits of building barrier-free: a contingent valuation of accessibility as an attribute of housing</w:t>
      </w:r>
      <w:r w:rsidRPr="0012750B">
        <w:t xml:space="preserve">, International Journal of Housing Policy Vol. 2, Issue. 1, 2002, p. 41. </w:t>
      </w:r>
      <w:r>
        <w:t>You can view</w:t>
      </w:r>
      <w:r w:rsidRPr="0012750B">
        <w:t xml:space="preserve"> </w:t>
      </w:r>
      <w:hyperlink r:id="rId1" w:history="1">
        <w:r>
          <w:rPr>
            <w:rStyle w:val="Hyperlink"/>
            <w:color w:val="auto"/>
            <w:u w:val="single"/>
          </w:rPr>
          <w:t>The benefits of building barrier-free: a contingent valuation of accessibility as an attribute of housing http://www.tandfonline.com/doi/citedby/10.1080/14616710110120577</w:t>
        </w:r>
      </w:hyperlink>
    </w:p>
  </w:footnote>
  <w:footnote w:id="3">
    <w:p w:rsidR="004B14C9" w:rsidRPr="0012750B" w:rsidRDefault="004B14C9" w:rsidP="00D14BF8">
      <w:pPr>
        <w:pStyle w:val="FootnoteText"/>
      </w:pPr>
      <w:r w:rsidRPr="0012750B">
        <w:rPr>
          <w:rStyle w:val="FootnoteReference"/>
        </w:rPr>
        <w:footnoteRef/>
      </w:r>
      <w:r w:rsidRPr="0012750B">
        <w:t xml:space="preserve"> Darcy, S. &amp; Dickson, T., 2009, </w:t>
      </w:r>
      <w:r w:rsidRPr="00D803EE">
        <w:rPr>
          <w:b/>
        </w:rPr>
        <w:t>A Whole-of-Life Approach to Tourism: The Case for Accessible Tourism</w:t>
      </w:r>
      <w:r w:rsidRPr="0012750B">
        <w:rPr>
          <w:i/>
        </w:rPr>
        <w:t xml:space="preserve"> </w:t>
      </w:r>
      <w:r w:rsidRPr="00D803EE">
        <w:rPr>
          <w:b/>
        </w:rPr>
        <w:t>Experiences,</w:t>
      </w:r>
      <w:r w:rsidRPr="0012750B">
        <w:rPr>
          <w:i/>
        </w:rPr>
        <w:t xml:space="preserve"> </w:t>
      </w:r>
      <w:r w:rsidRPr="0012750B">
        <w:t>Journal of Hospitality and Tourism Management, Vol. 16, Issue 1, p. 32-44</w:t>
      </w:r>
    </w:p>
  </w:footnote>
  <w:footnote w:id="4">
    <w:p w:rsidR="004B14C9" w:rsidRPr="0012750B" w:rsidRDefault="004B14C9" w:rsidP="00D14BF8">
      <w:pPr>
        <w:pStyle w:val="FootnoteText"/>
        <w:rPr>
          <w:lang w:val="en-NZ"/>
        </w:rPr>
      </w:pPr>
      <w:r w:rsidRPr="0012750B">
        <w:rPr>
          <w:rStyle w:val="FootnoteReference"/>
        </w:rPr>
        <w:footnoteRef/>
      </w:r>
      <w:r w:rsidRPr="0012750B">
        <w:t xml:space="preserve"> </w:t>
      </w:r>
      <w:r w:rsidRPr="0012750B">
        <w:rPr>
          <w:lang w:val="en-NZ"/>
        </w:rPr>
        <w:t xml:space="preserve">Business Disability Forum 2014, </w:t>
      </w:r>
      <w:r w:rsidRPr="00EC28F7">
        <w:rPr>
          <w:b/>
          <w:lang w:val="en-NZ"/>
        </w:rPr>
        <w:t>The evidence</w:t>
      </w:r>
      <w:r>
        <w:rPr>
          <w:b/>
          <w:lang w:val="en-NZ"/>
        </w:rPr>
        <w:t xml:space="preserve"> </w:t>
      </w:r>
      <w:r w:rsidRPr="008A6772">
        <w:rPr>
          <w:lang w:val="en-NZ"/>
        </w:rPr>
        <w:t>you can view</w:t>
      </w:r>
      <w:r w:rsidRPr="0012750B">
        <w:rPr>
          <w:i/>
          <w:lang w:val="en-NZ"/>
        </w:rPr>
        <w:t xml:space="preserve"> </w:t>
      </w:r>
      <w:r w:rsidRPr="00276E9B">
        <w:rPr>
          <w:u w:val="single"/>
          <w:lang w:val="en-NZ"/>
        </w:rPr>
        <w:t xml:space="preserve"> </w:t>
      </w:r>
      <w:hyperlink r:id="rId2" w:history="1">
        <w:r>
          <w:rPr>
            <w:rStyle w:val="Hyperlink"/>
            <w:color w:val="auto"/>
            <w:u w:val="single"/>
            <w:lang w:val="en-NZ"/>
          </w:rPr>
          <w:t>Business Disability Forum 2014, The evidence http://businessdisabilityforum.org.uk/customer-experience/the-evidence</w:t>
        </w:r>
      </w:hyperlink>
      <w:r w:rsidRPr="00276E9B">
        <w:rPr>
          <w:lang w:val="en-NZ"/>
        </w:rPr>
        <w:t xml:space="preserve"> viewed 22 July 2016</w:t>
      </w:r>
    </w:p>
  </w:footnote>
  <w:footnote w:id="5">
    <w:p w:rsidR="004B14C9" w:rsidRPr="0012750B" w:rsidRDefault="004B14C9" w:rsidP="00D14BF8">
      <w:pPr>
        <w:pStyle w:val="FootnoteText"/>
        <w:rPr>
          <w:lang w:val="en-NZ"/>
        </w:rPr>
      </w:pPr>
      <w:r w:rsidRPr="0012750B">
        <w:rPr>
          <w:rStyle w:val="FootnoteReference"/>
        </w:rPr>
        <w:footnoteRef/>
      </w:r>
      <w:r w:rsidRPr="0012750B">
        <w:t xml:space="preserve"> </w:t>
      </w:r>
      <w:r w:rsidRPr="0012750B">
        <w:rPr>
          <w:lang w:val="en-NZ"/>
        </w:rPr>
        <w:t xml:space="preserve">Australian Network on Disability, </w:t>
      </w:r>
      <w:r w:rsidRPr="00EC28F7">
        <w:rPr>
          <w:b/>
          <w:lang w:val="en-NZ"/>
        </w:rPr>
        <w:t>Maximising Your Markets,</w:t>
      </w:r>
      <w:r>
        <w:rPr>
          <w:b/>
          <w:lang w:val="en-NZ"/>
        </w:rPr>
        <w:t xml:space="preserve"> </w:t>
      </w:r>
      <w:r w:rsidRPr="008A6772">
        <w:rPr>
          <w:lang w:val="en-NZ"/>
        </w:rPr>
        <w:t>you can view</w:t>
      </w:r>
      <w:r w:rsidRPr="008A6772">
        <w:rPr>
          <w:i/>
          <w:lang w:val="en-NZ"/>
        </w:rPr>
        <w:t xml:space="preserve"> </w:t>
      </w:r>
      <w:r w:rsidRPr="008A6772">
        <w:rPr>
          <w:lang w:val="en-NZ"/>
        </w:rPr>
        <w:t xml:space="preserve"> </w:t>
      </w:r>
      <w:hyperlink r:id="rId3" w:anchor="_ftnref1" w:history="1">
        <w:r w:rsidRPr="00276E9B">
          <w:rPr>
            <w:rStyle w:val="Hyperlink"/>
            <w:color w:val="auto"/>
            <w:u w:val="single"/>
            <w:lang w:val="en-NZ"/>
          </w:rPr>
          <w:t>http://www.and.org.au/pages/resources-disability-confidence-275-maximising-your-markets-278.html#_ftnref1</w:t>
        </w:r>
      </w:hyperlink>
      <w:r w:rsidRPr="0012750B">
        <w:rPr>
          <w:rStyle w:val="Hyperlink"/>
          <w:color w:val="auto"/>
          <w:lang w:val="en-NZ"/>
        </w:rPr>
        <w:t xml:space="preserve">, </w:t>
      </w:r>
      <w:r w:rsidRPr="0012750B">
        <w:rPr>
          <w:lang w:val="en-NZ"/>
        </w:rPr>
        <w:t>viewed 22 July 2016</w:t>
      </w:r>
    </w:p>
    <w:p w:rsidR="004B14C9" w:rsidRPr="008F0BDB" w:rsidRDefault="004B14C9" w:rsidP="00D14BF8">
      <w:pPr>
        <w:pStyle w:val="FootnoteText"/>
        <w:rPr>
          <w:sz w:val="18"/>
          <w:szCs w:val="18"/>
          <w:lang w:val="en-NZ"/>
        </w:rPr>
      </w:pPr>
      <w:r w:rsidRPr="008F0BDB">
        <w:rPr>
          <w:sz w:val="18"/>
          <w:szCs w:val="18"/>
          <w:lang w:val="en-NZ"/>
        </w:rPr>
        <w:t xml:space="preserve"> </w:t>
      </w:r>
    </w:p>
  </w:footnote>
  <w:footnote w:id="6">
    <w:p w:rsidR="004B14C9" w:rsidRPr="003B7DC4" w:rsidRDefault="004B14C9" w:rsidP="00D14BF8">
      <w:r w:rsidRPr="003B7DC4">
        <w:rPr>
          <w:rStyle w:val="FootnoteReference"/>
        </w:rPr>
        <w:footnoteRef/>
      </w:r>
      <w:r w:rsidRPr="003B7DC4">
        <w:t xml:space="preserve"> Standard NSW Treasury practice discounts values using a 7% real discount rate, with sensitivity analysis using a 4% and 10% discount rate. </w:t>
      </w:r>
      <w:r>
        <w:t>Refer to</w:t>
      </w:r>
      <w:r w:rsidRPr="003B7DC4">
        <w:t xml:space="preserve"> </w:t>
      </w:r>
      <w:r w:rsidRPr="003B7DC4">
        <w:fldChar w:fldCharType="begin"/>
      </w:r>
      <w:r w:rsidRPr="003B7DC4">
        <w:instrText xml:space="preserve"> REF _Ref459363602 \r \h  \* MERGEFORMAT </w:instrText>
      </w:r>
      <w:r w:rsidRPr="003B7DC4">
        <w:fldChar w:fldCharType="separate"/>
      </w:r>
      <w:r w:rsidRPr="003B7DC4">
        <w:t>Appendix C</w:t>
      </w:r>
      <w:r w:rsidRPr="003B7DC4">
        <w:fldChar w:fldCharType="end"/>
      </w:r>
      <w:r w:rsidRPr="003B7DC4">
        <w:t xml:space="preserve"> for sensitivity analysis of CBA results using a 4% and 10% discount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1E4689" w:rsidRDefault="004B14C9">
    <w:pPr>
      <w:pStyle w:val="Header"/>
      <w:rPr>
        <w:color w:val="FFFFFF" w:themeColor="background1"/>
        <w:lang w:val="en-US"/>
      </w:rPr>
    </w:pPr>
    <w:proofErr w:type="gramStart"/>
    <w:r w:rsidRPr="001E4689">
      <w:rPr>
        <w:color w:val="FFFFFF" w:themeColor="background1"/>
        <w:lang w:val="en-US"/>
      </w:rPr>
      <w:t>office</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rsidP="005255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1476F8" w:rsidRDefault="004B14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Default="004B14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C9" w:rsidRPr="00EC12C9" w:rsidRDefault="004B14C9" w:rsidP="00EC1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C74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9C4A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08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80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CF4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42E1672"/>
    <w:multiLevelType w:val="hybridMultilevel"/>
    <w:tmpl w:val="8A008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5D3328F"/>
    <w:multiLevelType w:val="multilevel"/>
    <w:tmpl w:val="337470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39741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0F7A7F38"/>
    <w:multiLevelType w:val="hybridMultilevel"/>
    <w:tmpl w:val="D024A774"/>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9">
    <w:nsid w:val="15AD4594"/>
    <w:multiLevelType w:val="hybridMultilevel"/>
    <w:tmpl w:val="0354F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9336F9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8100EE"/>
    <w:multiLevelType w:val="hybridMultilevel"/>
    <w:tmpl w:val="BB321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761914"/>
    <w:multiLevelType w:val="hybridMultilevel"/>
    <w:tmpl w:val="90E0701E"/>
    <w:lvl w:ilvl="0" w:tplc="7AFA377A">
      <w:start w:val="1"/>
      <w:numFmt w:val="bullet"/>
      <w:lvlText w:val=""/>
      <w:lvlJc w:val="left"/>
      <w:pPr>
        <w:ind w:left="360" w:hanging="360"/>
      </w:pPr>
      <w:rPr>
        <w:rFonts w:ascii="Wingdings" w:hAnsi="Wingdings" w:hint="default"/>
        <w:b w:val="0"/>
        <w:i w:val="0"/>
        <w:sz w:val="20"/>
      </w:rPr>
    </w:lvl>
    <w:lvl w:ilvl="1" w:tplc="8334DE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855AF0"/>
    <w:multiLevelType w:val="hybridMultilevel"/>
    <w:tmpl w:val="D1EA921E"/>
    <w:lvl w:ilvl="0" w:tplc="647679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47B1BF9"/>
    <w:multiLevelType w:val="hybridMultilevel"/>
    <w:tmpl w:val="96BEA002"/>
    <w:lvl w:ilvl="0" w:tplc="2BBADBB6">
      <w:start w:val="1"/>
      <w:numFmt w:val="bullet"/>
      <w:pStyle w:val="UrbisTable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CE1978"/>
    <w:multiLevelType w:val="multilevel"/>
    <w:tmpl w:val="05EEF3A6"/>
    <w:lvl w:ilvl="0">
      <w:start w:val="1"/>
      <w:numFmt w:val="upperLetter"/>
      <w:pStyle w:val="Appendix1"/>
      <w:lvlText w:val="Appendix %1"/>
      <w:lvlJc w:val="left"/>
      <w:pPr>
        <w:tabs>
          <w:tab w:val="num" w:pos="3402"/>
        </w:tabs>
        <w:ind w:left="1701" w:hanging="1701"/>
      </w:pPr>
      <w:rPr>
        <w:rFonts w:ascii="Arial" w:hAnsi="Arial" w:hint="default"/>
        <w:b w:val="0"/>
        <w:i w:val="0"/>
        <w:sz w:val="36"/>
        <w:szCs w:val="36"/>
      </w:rPr>
    </w:lvl>
    <w:lvl w:ilvl="1">
      <w:start w:val="1"/>
      <w:numFmt w:val="decimal"/>
      <w:pStyle w:val="Appendix2"/>
      <w:lvlText w:val="%1.%2"/>
      <w:lvlJc w:val="left"/>
      <w:pPr>
        <w:tabs>
          <w:tab w:val="num" w:pos="3402"/>
        </w:tabs>
        <w:ind w:left="1701" w:hanging="1701"/>
      </w:pPr>
      <w:rPr>
        <w:rFonts w:cs="Times New Roman" w:hint="default"/>
        <w:b w:val="0"/>
        <w:bCs w:val="0"/>
        <w:i w:val="0"/>
        <w:iCs w:val="0"/>
        <w:caps/>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3"/>
      <w:lvlText w:val="%1.%2.%3"/>
      <w:lvlJc w:val="left"/>
      <w:pPr>
        <w:tabs>
          <w:tab w:val="num" w:pos="3402"/>
        </w:tabs>
        <w:ind w:left="1701" w:hanging="170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4"/>
      <w:lvlText w:val="%1.%2.%3.%4"/>
      <w:lvlJc w:val="left"/>
      <w:pPr>
        <w:tabs>
          <w:tab w:val="num" w:pos="3402"/>
        </w:tabs>
        <w:ind w:left="1701" w:hanging="170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402"/>
        </w:tabs>
        <w:ind w:left="1701" w:hanging="1701"/>
      </w:pPr>
      <w:rPr>
        <w:rFonts w:hint="default"/>
      </w:rPr>
    </w:lvl>
    <w:lvl w:ilvl="5">
      <w:start w:val="1"/>
      <w:numFmt w:val="decimal"/>
      <w:lvlText w:val="%1.%2.%3.%4.%5.%6"/>
      <w:lvlJc w:val="left"/>
      <w:pPr>
        <w:tabs>
          <w:tab w:val="num" w:pos="3402"/>
        </w:tabs>
        <w:ind w:left="1701" w:hanging="1701"/>
      </w:pPr>
      <w:rPr>
        <w:rFonts w:hint="default"/>
      </w:rPr>
    </w:lvl>
    <w:lvl w:ilvl="6">
      <w:start w:val="1"/>
      <w:numFmt w:val="decimal"/>
      <w:lvlText w:val="%1.%2.%3.%4.%5.%6.%7"/>
      <w:lvlJc w:val="left"/>
      <w:pPr>
        <w:tabs>
          <w:tab w:val="num" w:pos="3402"/>
        </w:tabs>
        <w:ind w:left="1701" w:hanging="1701"/>
      </w:pPr>
      <w:rPr>
        <w:rFonts w:hint="default"/>
      </w:rPr>
    </w:lvl>
    <w:lvl w:ilvl="7">
      <w:start w:val="1"/>
      <w:numFmt w:val="decimal"/>
      <w:lvlText w:val="%1.%2.%3.%4.%5.%6.%7.%8"/>
      <w:lvlJc w:val="left"/>
      <w:pPr>
        <w:tabs>
          <w:tab w:val="num" w:pos="3402"/>
        </w:tabs>
        <w:ind w:left="1701" w:hanging="1701"/>
      </w:pPr>
      <w:rPr>
        <w:rFonts w:hint="default"/>
      </w:rPr>
    </w:lvl>
    <w:lvl w:ilvl="8">
      <w:start w:val="1"/>
      <w:numFmt w:val="decimal"/>
      <w:lvlText w:val="%1.%2.%3.%4.%5.%6.%7.%8.%9"/>
      <w:lvlJc w:val="left"/>
      <w:pPr>
        <w:tabs>
          <w:tab w:val="num" w:pos="3402"/>
        </w:tabs>
        <w:ind w:left="1701" w:hanging="1701"/>
      </w:pPr>
      <w:rPr>
        <w:rFonts w:hint="default"/>
      </w:rPr>
    </w:lvl>
  </w:abstractNum>
  <w:abstractNum w:abstractNumId="16">
    <w:nsid w:val="3F2065DD"/>
    <w:multiLevelType w:val="hybridMultilevel"/>
    <w:tmpl w:val="45702FE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nsid w:val="4C77472C"/>
    <w:multiLevelType w:val="hybridMultilevel"/>
    <w:tmpl w:val="10E0DA3C"/>
    <w:lvl w:ilvl="0" w:tplc="CED8DD68">
      <w:start w:val="1"/>
      <w:numFmt w:val="bullet"/>
      <w:pStyle w:val="UrbisTableBullets"/>
      <w:lvlText w:val=""/>
      <w:lvlJc w:val="left"/>
      <w:pPr>
        <w:tabs>
          <w:tab w:val="num" w:pos="227"/>
        </w:tabs>
        <w:ind w:left="227"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395EC1"/>
    <w:multiLevelType w:val="hybridMultilevel"/>
    <w:tmpl w:val="DCC28188"/>
    <w:lvl w:ilvl="0" w:tplc="647679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8F2878"/>
    <w:multiLevelType w:val="hybridMultilevel"/>
    <w:tmpl w:val="64A8219C"/>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64767904">
      <w:start w:val="1"/>
      <w:numFmt w:val="bullet"/>
      <w:lvlText w:val=""/>
      <w:lvlJc w:val="left"/>
      <w:pPr>
        <w:ind w:left="375" w:hanging="360"/>
      </w:pPr>
      <w:rPr>
        <w:rFonts w:ascii="Symbol" w:hAnsi="Symbol" w:hint="default"/>
        <w:color w:val="auto"/>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20">
    <w:nsid w:val="79BD0E54"/>
    <w:multiLevelType w:val="hybridMultilevel"/>
    <w:tmpl w:val="C38A3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A765A2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0"/>
  </w:num>
  <w:num w:numId="8">
    <w:abstractNumId w:val="7"/>
  </w:num>
  <w:num w:numId="9">
    <w:abstractNumId w:val="6"/>
  </w:num>
  <w:num w:numId="10">
    <w:abstractNumId w:val="17"/>
  </w:num>
  <w:num w:numId="11">
    <w:abstractNumId w:val="15"/>
  </w:num>
  <w:num w:numId="12">
    <w:abstractNumId w:val="14"/>
  </w:num>
  <w:num w:numId="13">
    <w:abstractNumId w:val="18"/>
  </w:num>
  <w:num w:numId="14">
    <w:abstractNumId w:val="13"/>
  </w:num>
  <w:num w:numId="15">
    <w:abstractNumId w:val="9"/>
  </w:num>
  <w:num w:numId="16">
    <w:abstractNumId w:val="8"/>
  </w:num>
  <w:num w:numId="17">
    <w:abstractNumId w:val="20"/>
  </w:num>
  <w:num w:numId="18">
    <w:abstractNumId w:val="5"/>
  </w:num>
  <w:num w:numId="19">
    <w:abstractNumId w:val="12"/>
  </w:num>
  <w:num w:numId="20">
    <w:abstractNumId w:val="16"/>
  </w:num>
  <w:num w:numId="21">
    <w:abstractNumId w:val="11"/>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81"/>
  <w:displayHorizontalDrawingGridEvery w:val="2"/>
  <w:characterSpacingControl w:val="doNotCompress"/>
  <w:hdrShapeDefaults>
    <o:shapedefaults v:ext="edit" spidmax="38913">
      <o:colormru v:ext="edit" colors="#50b3cf,#005a84,white,#fd0,#e2017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 w:val="[28 105 273 523]"/>
    <w:docVar w:name="Date" w:val="[Date]"/>
    <w:docVar w:name="Disclaimer_Date" w:val="Date"/>
    <w:docVar w:name="Disclaimer_Party" w:val="qaz"/>
    <w:docVar w:name="Disclaimer_Purpose" w:val="wsx"/>
    <w:docVar w:name="docDate" w:val="2015.11.05"/>
    <w:docVar w:name="docVersion" w:val="6"/>
    <w:docVar w:name="ImageName" w:val="MELBOURNE.jpg"/>
    <w:docVar w:name="OwnImage" w:val="No"/>
    <w:docVar w:name="Report Subtitle" w:val="[Report Subtitle]"/>
    <w:docVar w:name="Report Title" w:val="[Report Title]"/>
    <w:docVar w:name="TemplateVersion" w:val="2015.11.05"/>
    <w:docVar w:name="Urbis Company" w:val="[Urbis Valuations Pty Ltd]"/>
  </w:docVars>
  <w:rsids>
    <w:rsidRoot w:val="004D685D"/>
    <w:rsid w:val="00000613"/>
    <w:rsid w:val="000010C6"/>
    <w:rsid w:val="00001193"/>
    <w:rsid w:val="0000172D"/>
    <w:rsid w:val="00001749"/>
    <w:rsid w:val="000019A2"/>
    <w:rsid w:val="00002208"/>
    <w:rsid w:val="00002BEC"/>
    <w:rsid w:val="00006519"/>
    <w:rsid w:val="0000688A"/>
    <w:rsid w:val="000072E2"/>
    <w:rsid w:val="00007627"/>
    <w:rsid w:val="00007FDF"/>
    <w:rsid w:val="000102FF"/>
    <w:rsid w:val="00011F40"/>
    <w:rsid w:val="00012837"/>
    <w:rsid w:val="000134D9"/>
    <w:rsid w:val="00013A97"/>
    <w:rsid w:val="0001546F"/>
    <w:rsid w:val="00015C17"/>
    <w:rsid w:val="00015C20"/>
    <w:rsid w:val="000161CA"/>
    <w:rsid w:val="0001790A"/>
    <w:rsid w:val="00020315"/>
    <w:rsid w:val="00020F4B"/>
    <w:rsid w:val="00021305"/>
    <w:rsid w:val="00025034"/>
    <w:rsid w:val="0002644B"/>
    <w:rsid w:val="00030509"/>
    <w:rsid w:val="00031589"/>
    <w:rsid w:val="00031BE3"/>
    <w:rsid w:val="00032A51"/>
    <w:rsid w:val="00032FD9"/>
    <w:rsid w:val="00033220"/>
    <w:rsid w:val="00033FDB"/>
    <w:rsid w:val="00034414"/>
    <w:rsid w:val="00034EF1"/>
    <w:rsid w:val="0003511E"/>
    <w:rsid w:val="00035CE6"/>
    <w:rsid w:val="00036AFD"/>
    <w:rsid w:val="00037C6A"/>
    <w:rsid w:val="000436EC"/>
    <w:rsid w:val="00046094"/>
    <w:rsid w:val="000460B8"/>
    <w:rsid w:val="000461A6"/>
    <w:rsid w:val="00046E6E"/>
    <w:rsid w:val="000472E5"/>
    <w:rsid w:val="0005084C"/>
    <w:rsid w:val="000513BC"/>
    <w:rsid w:val="000515D8"/>
    <w:rsid w:val="00051A72"/>
    <w:rsid w:val="00052AAE"/>
    <w:rsid w:val="00052B6C"/>
    <w:rsid w:val="0005300A"/>
    <w:rsid w:val="00054BF1"/>
    <w:rsid w:val="000557B8"/>
    <w:rsid w:val="000559FB"/>
    <w:rsid w:val="00055F89"/>
    <w:rsid w:val="00056619"/>
    <w:rsid w:val="00056783"/>
    <w:rsid w:val="000572D5"/>
    <w:rsid w:val="0005756C"/>
    <w:rsid w:val="000608C2"/>
    <w:rsid w:val="00061395"/>
    <w:rsid w:val="000616D1"/>
    <w:rsid w:val="00062BE6"/>
    <w:rsid w:val="000634EC"/>
    <w:rsid w:val="0006350A"/>
    <w:rsid w:val="000646B5"/>
    <w:rsid w:val="000657F9"/>
    <w:rsid w:val="000672A2"/>
    <w:rsid w:val="00067DCB"/>
    <w:rsid w:val="00067FB2"/>
    <w:rsid w:val="0007010B"/>
    <w:rsid w:val="00070FB2"/>
    <w:rsid w:val="00071B02"/>
    <w:rsid w:val="00072D23"/>
    <w:rsid w:val="000735CA"/>
    <w:rsid w:val="00073AF9"/>
    <w:rsid w:val="000742C7"/>
    <w:rsid w:val="00076012"/>
    <w:rsid w:val="00077024"/>
    <w:rsid w:val="0008194F"/>
    <w:rsid w:val="00081CEA"/>
    <w:rsid w:val="00082252"/>
    <w:rsid w:val="000825BB"/>
    <w:rsid w:val="00082960"/>
    <w:rsid w:val="00083A51"/>
    <w:rsid w:val="000840EC"/>
    <w:rsid w:val="000858DC"/>
    <w:rsid w:val="000862E5"/>
    <w:rsid w:val="00086C3D"/>
    <w:rsid w:val="00086D48"/>
    <w:rsid w:val="00086F22"/>
    <w:rsid w:val="00087FBA"/>
    <w:rsid w:val="00091918"/>
    <w:rsid w:val="000928E8"/>
    <w:rsid w:val="000946E8"/>
    <w:rsid w:val="00095E2D"/>
    <w:rsid w:val="00095E78"/>
    <w:rsid w:val="00096548"/>
    <w:rsid w:val="00096CD2"/>
    <w:rsid w:val="000971B4"/>
    <w:rsid w:val="000974FE"/>
    <w:rsid w:val="0009751E"/>
    <w:rsid w:val="00097C0F"/>
    <w:rsid w:val="00097E5C"/>
    <w:rsid w:val="000A0CF2"/>
    <w:rsid w:val="000A1B57"/>
    <w:rsid w:val="000A1C88"/>
    <w:rsid w:val="000A1F61"/>
    <w:rsid w:val="000A2494"/>
    <w:rsid w:val="000A2F0F"/>
    <w:rsid w:val="000A32E3"/>
    <w:rsid w:val="000A381D"/>
    <w:rsid w:val="000A39C5"/>
    <w:rsid w:val="000A46C1"/>
    <w:rsid w:val="000A58D9"/>
    <w:rsid w:val="000A5907"/>
    <w:rsid w:val="000A5BB5"/>
    <w:rsid w:val="000A5D53"/>
    <w:rsid w:val="000A7C5C"/>
    <w:rsid w:val="000B0593"/>
    <w:rsid w:val="000B0668"/>
    <w:rsid w:val="000B0EAA"/>
    <w:rsid w:val="000B143B"/>
    <w:rsid w:val="000B4117"/>
    <w:rsid w:val="000B4838"/>
    <w:rsid w:val="000B6A0B"/>
    <w:rsid w:val="000C005D"/>
    <w:rsid w:val="000C02CD"/>
    <w:rsid w:val="000C04C7"/>
    <w:rsid w:val="000C0867"/>
    <w:rsid w:val="000C1E09"/>
    <w:rsid w:val="000C2005"/>
    <w:rsid w:val="000C2259"/>
    <w:rsid w:val="000C2604"/>
    <w:rsid w:val="000C350F"/>
    <w:rsid w:val="000C40AF"/>
    <w:rsid w:val="000C40F9"/>
    <w:rsid w:val="000C4545"/>
    <w:rsid w:val="000C7D71"/>
    <w:rsid w:val="000D009B"/>
    <w:rsid w:val="000D019F"/>
    <w:rsid w:val="000D020B"/>
    <w:rsid w:val="000D0F1F"/>
    <w:rsid w:val="000D1E81"/>
    <w:rsid w:val="000D4177"/>
    <w:rsid w:val="000D563D"/>
    <w:rsid w:val="000D630E"/>
    <w:rsid w:val="000D67FC"/>
    <w:rsid w:val="000D6FA0"/>
    <w:rsid w:val="000D799C"/>
    <w:rsid w:val="000E0EFE"/>
    <w:rsid w:val="000E1241"/>
    <w:rsid w:val="000E19D3"/>
    <w:rsid w:val="000E2C5A"/>
    <w:rsid w:val="000E494E"/>
    <w:rsid w:val="000E4AD4"/>
    <w:rsid w:val="000E55A6"/>
    <w:rsid w:val="000E6593"/>
    <w:rsid w:val="000E7755"/>
    <w:rsid w:val="000E77BC"/>
    <w:rsid w:val="000F113B"/>
    <w:rsid w:val="000F2E6C"/>
    <w:rsid w:val="000F31E0"/>
    <w:rsid w:val="000F722F"/>
    <w:rsid w:val="000F73FA"/>
    <w:rsid w:val="000F79C4"/>
    <w:rsid w:val="00101D10"/>
    <w:rsid w:val="001028F8"/>
    <w:rsid w:val="00102D4D"/>
    <w:rsid w:val="0010309D"/>
    <w:rsid w:val="0010346F"/>
    <w:rsid w:val="00103695"/>
    <w:rsid w:val="0010375B"/>
    <w:rsid w:val="00104226"/>
    <w:rsid w:val="0010496C"/>
    <w:rsid w:val="00105396"/>
    <w:rsid w:val="0010670D"/>
    <w:rsid w:val="001067C1"/>
    <w:rsid w:val="00106FEC"/>
    <w:rsid w:val="001073BC"/>
    <w:rsid w:val="001102EB"/>
    <w:rsid w:val="001103FE"/>
    <w:rsid w:val="001107CF"/>
    <w:rsid w:val="00110CF7"/>
    <w:rsid w:val="0011132B"/>
    <w:rsid w:val="001119CE"/>
    <w:rsid w:val="00111BB6"/>
    <w:rsid w:val="0011440D"/>
    <w:rsid w:val="0011497A"/>
    <w:rsid w:val="00115014"/>
    <w:rsid w:val="00117445"/>
    <w:rsid w:val="001175A3"/>
    <w:rsid w:val="001178BF"/>
    <w:rsid w:val="001178E8"/>
    <w:rsid w:val="00120551"/>
    <w:rsid w:val="0012134D"/>
    <w:rsid w:val="0012355F"/>
    <w:rsid w:val="001237F2"/>
    <w:rsid w:val="00125122"/>
    <w:rsid w:val="001274E4"/>
    <w:rsid w:val="0012750B"/>
    <w:rsid w:val="001301C0"/>
    <w:rsid w:val="001307C4"/>
    <w:rsid w:val="00131522"/>
    <w:rsid w:val="00132737"/>
    <w:rsid w:val="00132DAB"/>
    <w:rsid w:val="00132F2C"/>
    <w:rsid w:val="001342E8"/>
    <w:rsid w:val="00135914"/>
    <w:rsid w:val="00135DE4"/>
    <w:rsid w:val="00136678"/>
    <w:rsid w:val="00136837"/>
    <w:rsid w:val="00137DBB"/>
    <w:rsid w:val="001412F5"/>
    <w:rsid w:val="001425D8"/>
    <w:rsid w:val="001427F8"/>
    <w:rsid w:val="00143B88"/>
    <w:rsid w:val="001466CB"/>
    <w:rsid w:val="0014749C"/>
    <w:rsid w:val="001476F8"/>
    <w:rsid w:val="0015070D"/>
    <w:rsid w:val="00152CAC"/>
    <w:rsid w:val="001546A0"/>
    <w:rsid w:val="00154FD4"/>
    <w:rsid w:val="00155B5B"/>
    <w:rsid w:val="00157743"/>
    <w:rsid w:val="0015789B"/>
    <w:rsid w:val="00157981"/>
    <w:rsid w:val="0016112F"/>
    <w:rsid w:val="00161A6F"/>
    <w:rsid w:val="00162570"/>
    <w:rsid w:val="00162F9C"/>
    <w:rsid w:val="00163D14"/>
    <w:rsid w:val="00164757"/>
    <w:rsid w:val="00164F51"/>
    <w:rsid w:val="0016501C"/>
    <w:rsid w:val="00170742"/>
    <w:rsid w:val="001710A2"/>
    <w:rsid w:val="001719F4"/>
    <w:rsid w:val="00171C80"/>
    <w:rsid w:val="00173AA9"/>
    <w:rsid w:val="00173C98"/>
    <w:rsid w:val="001741B6"/>
    <w:rsid w:val="0017478D"/>
    <w:rsid w:val="001761B1"/>
    <w:rsid w:val="001770F1"/>
    <w:rsid w:val="0017735E"/>
    <w:rsid w:val="0017763E"/>
    <w:rsid w:val="001779F9"/>
    <w:rsid w:val="00180D4D"/>
    <w:rsid w:val="00180FA4"/>
    <w:rsid w:val="001810D4"/>
    <w:rsid w:val="00181349"/>
    <w:rsid w:val="00181974"/>
    <w:rsid w:val="00182008"/>
    <w:rsid w:val="001824F7"/>
    <w:rsid w:val="00182D0D"/>
    <w:rsid w:val="001832C8"/>
    <w:rsid w:val="00183B11"/>
    <w:rsid w:val="00184FA3"/>
    <w:rsid w:val="00190505"/>
    <w:rsid w:val="001910FE"/>
    <w:rsid w:val="001944AF"/>
    <w:rsid w:val="00194B95"/>
    <w:rsid w:val="00196458"/>
    <w:rsid w:val="0019672C"/>
    <w:rsid w:val="00196D3C"/>
    <w:rsid w:val="001A1004"/>
    <w:rsid w:val="001A354A"/>
    <w:rsid w:val="001A5456"/>
    <w:rsid w:val="001A60BF"/>
    <w:rsid w:val="001A6AE9"/>
    <w:rsid w:val="001A6BDA"/>
    <w:rsid w:val="001A7959"/>
    <w:rsid w:val="001B0D2D"/>
    <w:rsid w:val="001B13B2"/>
    <w:rsid w:val="001B1CC8"/>
    <w:rsid w:val="001B1DFC"/>
    <w:rsid w:val="001B1E76"/>
    <w:rsid w:val="001B2687"/>
    <w:rsid w:val="001B3890"/>
    <w:rsid w:val="001B5C48"/>
    <w:rsid w:val="001B795A"/>
    <w:rsid w:val="001C2E66"/>
    <w:rsid w:val="001C3D25"/>
    <w:rsid w:val="001C3FEE"/>
    <w:rsid w:val="001C438D"/>
    <w:rsid w:val="001C5004"/>
    <w:rsid w:val="001C50C6"/>
    <w:rsid w:val="001C5C62"/>
    <w:rsid w:val="001C65E9"/>
    <w:rsid w:val="001C719D"/>
    <w:rsid w:val="001C774A"/>
    <w:rsid w:val="001D0123"/>
    <w:rsid w:val="001D0CCC"/>
    <w:rsid w:val="001D20B9"/>
    <w:rsid w:val="001D2934"/>
    <w:rsid w:val="001D3B53"/>
    <w:rsid w:val="001D43BA"/>
    <w:rsid w:val="001D65F1"/>
    <w:rsid w:val="001D71D1"/>
    <w:rsid w:val="001D7405"/>
    <w:rsid w:val="001D7877"/>
    <w:rsid w:val="001E0A46"/>
    <w:rsid w:val="001E0D1B"/>
    <w:rsid w:val="001E103F"/>
    <w:rsid w:val="001E13FA"/>
    <w:rsid w:val="001E18D0"/>
    <w:rsid w:val="001E1B62"/>
    <w:rsid w:val="001E2BA1"/>
    <w:rsid w:val="001E4689"/>
    <w:rsid w:val="001E495A"/>
    <w:rsid w:val="001E59EA"/>
    <w:rsid w:val="001E7323"/>
    <w:rsid w:val="001E7B6C"/>
    <w:rsid w:val="001F0890"/>
    <w:rsid w:val="001F0CBC"/>
    <w:rsid w:val="001F12FE"/>
    <w:rsid w:val="001F4784"/>
    <w:rsid w:val="001F487B"/>
    <w:rsid w:val="001F4E52"/>
    <w:rsid w:val="001F51C1"/>
    <w:rsid w:val="001F58C9"/>
    <w:rsid w:val="001F5B0E"/>
    <w:rsid w:val="001F7FC7"/>
    <w:rsid w:val="002001A2"/>
    <w:rsid w:val="0020039C"/>
    <w:rsid w:val="002007B5"/>
    <w:rsid w:val="00200878"/>
    <w:rsid w:val="002016E8"/>
    <w:rsid w:val="0020222F"/>
    <w:rsid w:val="00202D00"/>
    <w:rsid w:val="00205307"/>
    <w:rsid w:val="00206BDF"/>
    <w:rsid w:val="00207AB9"/>
    <w:rsid w:val="00207EB1"/>
    <w:rsid w:val="00210F58"/>
    <w:rsid w:val="00211090"/>
    <w:rsid w:val="00213B58"/>
    <w:rsid w:val="00213B5D"/>
    <w:rsid w:val="002141B5"/>
    <w:rsid w:val="00214C7B"/>
    <w:rsid w:val="002162C9"/>
    <w:rsid w:val="00216B44"/>
    <w:rsid w:val="00220598"/>
    <w:rsid w:val="00220736"/>
    <w:rsid w:val="00222644"/>
    <w:rsid w:val="00222D88"/>
    <w:rsid w:val="00222F6C"/>
    <w:rsid w:val="0022325D"/>
    <w:rsid w:val="002248A8"/>
    <w:rsid w:val="0022501D"/>
    <w:rsid w:val="0022553A"/>
    <w:rsid w:val="002267BD"/>
    <w:rsid w:val="00227C7E"/>
    <w:rsid w:val="002319FD"/>
    <w:rsid w:val="00231FD5"/>
    <w:rsid w:val="00233129"/>
    <w:rsid w:val="00233EFA"/>
    <w:rsid w:val="00234383"/>
    <w:rsid w:val="0023501C"/>
    <w:rsid w:val="00235726"/>
    <w:rsid w:val="0023582B"/>
    <w:rsid w:val="00235FB4"/>
    <w:rsid w:val="00236FD9"/>
    <w:rsid w:val="002403E7"/>
    <w:rsid w:val="0024197F"/>
    <w:rsid w:val="0024234E"/>
    <w:rsid w:val="002437B6"/>
    <w:rsid w:val="00244C81"/>
    <w:rsid w:val="002454B4"/>
    <w:rsid w:val="0024598E"/>
    <w:rsid w:val="00245E59"/>
    <w:rsid w:val="002478BF"/>
    <w:rsid w:val="002512E8"/>
    <w:rsid w:val="00253C90"/>
    <w:rsid w:val="00253C9A"/>
    <w:rsid w:val="00254973"/>
    <w:rsid w:val="002560B5"/>
    <w:rsid w:val="002567B7"/>
    <w:rsid w:val="00256ED3"/>
    <w:rsid w:val="00257E44"/>
    <w:rsid w:val="002601B6"/>
    <w:rsid w:val="002612AD"/>
    <w:rsid w:val="00261787"/>
    <w:rsid w:val="002626CB"/>
    <w:rsid w:val="00264047"/>
    <w:rsid w:val="00265D42"/>
    <w:rsid w:val="00267565"/>
    <w:rsid w:val="00267D3B"/>
    <w:rsid w:val="00270102"/>
    <w:rsid w:val="0027019B"/>
    <w:rsid w:val="00272500"/>
    <w:rsid w:val="00273777"/>
    <w:rsid w:val="002741DE"/>
    <w:rsid w:val="0027433C"/>
    <w:rsid w:val="00275075"/>
    <w:rsid w:val="002751F7"/>
    <w:rsid w:val="002753C0"/>
    <w:rsid w:val="00275EFD"/>
    <w:rsid w:val="00276E9B"/>
    <w:rsid w:val="00277A2D"/>
    <w:rsid w:val="00277D14"/>
    <w:rsid w:val="00277E11"/>
    <w:rsid w:val="00277F30"/>
    <w:rsid w:val="002802A2"/>
    <w:rsid w:val="00281051"/>
    <w:rsid w:val="002819FE"/>
    <w:rsid w:val="00282387"/>
    <w:rsid w:val="00282648"/>
    <w:rsid w:val="0028359A"/>
    <w:rsid w:val="00284B1C"/>
    <w:rsid w:val="00284D4D"/>
    <w:rsid w:val="0028518C"/>
    <w:rsid w:val="0028638C"/>
    <w:rsid w:val="00286EEB"/>
    <w:rsid w:val="002879C2"/>
    <w:rsid w:val="00287A12"/>
    <w:rsid w:val="002917A9"/>
    <w:rsid w:val="00292B4F"/>
    <w:rsid w:val="00293BC9"/>
    <w:rsid w:val="00294A2E"/>
    <w:rsid w:val="00295206"/>
    <w:rsid w:val="00297304"/>
    <w:rsid w:val="002A0589"/>
    <w:rsid w:val="002A0CCF"/>
    <w:rsid w:val="002A2D6B"/>
    <w:rsid w:val="002A32C0"/>
    <w:rsid w:val="002A5356"/>
    <w:rsid w:val="002A5603"/>
    <w:rsid w:val="002A5D85"/>
    <w:rsid w:val="002A62AB"/>
    <w:rsid w:val="002A6ADF"/>
    <w:rsid w:val="002A7309"/>
    <w:rsid w:val="002B0767"/>
    <w:rsid w:val="002B28E3"/>
    <w:rsid w:val="002B4CF8"/>
    <w:rsid w:val="002B6D73"/>
    <w:rsid w:val="002B77B3"/>
    <w:rsid w:val="002C0354"/>
    <w:rsid w:val="002C06BA"/>
    <w:rsid w:val="002C06C4"/>
    <w:rsid w:val="002C0B00"/>
    <w:rsid w:val="002C155D"/>
    <w:rsid w:val="002C179E"/>
    <w:rsid w:val="002C1DE9"/>
    <w:rsid w:val="002C1DF4"/>
    <w:rsid w:val="002C1EEE"/>
    <w:rsid w:val="002C2DAE"/>
    <w:rsid w:val="002C2E67"/>
    <w:rsid w:val="002C4418"/>
    <w:rsid w:val="002C7A79"/>
    <w:rsid w:val="002D06EA"/>
    <w:rsid w:val="002D07EC"/>
    <w:rsid w:val="002D179D"/>
    <w:rsid w:val="002D28A8"/>
    <w:rsid w:val="002D3C06"/>
    <w:rsid w:val="002D3C4C"/>
    <w:rsid w:val="002D40BB"/>
    <w:rsid w:val="002D454A"/>
    <w:rsid w:val="002D4E7E"/>
    <w:rsid w:val="002D5269"/>
    <w:rsid w:val="002D5837"/>
    <w:rsid w:val="002D5E4C"/>
    <w:rsid w:val="002D7A99"/>
    <w:rsid w:val="002E0FA5"/>
    <w:rsid w:val="002E1303"/>
    <w:rsid w:val="002E189A"/>
    <w:rsid w:val="002E2E3F"/>
    <w:rsid w:val="002E31A1"/>
    <w:rsid w:val="002E4768"/>
    <w:rsid w:val="002E4F9C"/>
    <w:rsid w:val="002E5708"/>
    <w:rsid w:val="002E5CE5"/>
    <w:rsid w:val="002E5FA5"/>
    <w:rsid w:val="002E6578"/>
    <w:rsid w:val="002E7441"/>
    <w:rsid w:val="002E77CD"/>
    <w:rsid w:val="002E7D88"/>
    <w:rsid w:val="002F0CC0"/>
    <w:rsid w:val="002F159C"/>
    <w:rsid w:val="002F2026"/>
    <w:rsid w:val="002F2066"/>
    <w:rsid w:val="002F307D"/>
    <w:rsid w:val="002F35DF"/>
    <w:rsid w:val="002F3889"/>
    <w:rsid w:val="002F4376"/>
    <w:rsid w:val="002F4644"/>
    <w:rsid w:val="002F4B4C"/>
    <w:rsid w:val="002F501D"/>
    <w:rsid w:val="002F5B70"/>
    <w:rsid w:val="002F5EBF"/>
    <w:rsid w:val="002F693B"/>
    <w:rsid w:val="00301578"/>
    <w:rsid w:val="00301688"/>
    <w:rsid w:val="00301869"/>
    <w:rsid w:val="00301A5C"/>
    <w:rsid w:val="00301BFF"/>
    <w:rsid w:val="00301E1D"/>
    <w:rsid w:val="003025DA"/>
    <w:rsid w:val="00302BAC"/>
    <w:rsid w:val="00303D20"/>
    <w:rsid w:val="003041BC"/>
    <w:rsid w:val="00305E43"/>
    <w:rsid w:val="003060F0"/>
    <w:rsid w:val="00307378"/>
    <w:rsid w:val="003073C2"/>
    <w:rsid w:val="003077D3"/>
    <w:rsid w:val="00310836"/>
    <w:rsid w:val="00310A75"/>
    <w:rsid w:val="00310E13"/>
    <w:rsid w:val="0031221E"/>
    <w:rsid w:val="003155F8"/>
    <w:rsid w:val="00317E38"/>
    <w:rsid w:val="00321130"/>
    <w:rsid w:val="00321DD3"/>
    <w:rsid w:val="003227E7"/>
    <w:rsid w:val="0032300E"/>
    <w:rsid w:val="00326B2F"/>
    <w:rsid w:val="00327C96"/>
    <w:rsid w:val="00330054"/>
    <w:rsid w:val="00330772"/>
    <w:rsid w:val="00330B2F"/>
    <w:rsid w:val="0033207F"/>
    <w:rsid w:val="003321BE"/>
    <w:rsid w:val="00332782"/>
    <w:rsid w:val="00333667"/>
    <w:rsid w:val="00334D09"/>
    <w:rsid w:val="00336187"/>
    <w:rsid w:val="00336A4E"/>
    <w:rsid w:val="0034000A"/>
    <w:rsid w:val="003415A9"/>
    <w:rsid w:val="00341D10"/>
    <w:rsid w:val="00342052"/>
    <w:rsid w:val="003435FF"/>
    <w:rsid w:val="00345D78"/>
    <w:rsid w:val="00346976"/>
    <w:rsid w:val="00347992"/>
    <w:rsid w:val="003502CF"/>
    <w:rsid w:val="0035249D"/>
    <w:rsid w:val="00352D83"/>
    <w:rsid w:val="00353B6C"/>
    <w:rsid w:val="00354E22"/>
    <w:rsid w:val="00355F7A"/>
    <w:rsid w:val="003565B6"/>
    <w:rsid w:val="003570C8"/>
    <w:rsid w:val="003601D4"/>
    <w:rsid w:val="00360FC5"/>
    <w:rsid w:val="003615E3"/>
    <w:rsid w:val="0036369F"/>
    <w:rsid w:val="003647AD"/>
    <w:rsid w:val="00365416"/>
    <w:rsid w:val="003666DC"/>
    <w:rsid w:val="00367509"/>
    <w:rsid w:val="00370892"/>
    <w:rsid w:val="00370A82"/>
    <w:rsid w:val="00371725"/>
    <w:rsid w:val="00371A33"/>
    <w:rsid w:val="00371D2F"/>
    <w:rsid w:val="0037338E"/>
    <w:rsid w:val="0037377C"/>
    <w:rsid w:val="00374122"/>
    <w:rsid w:val="00374307"/>
    <w:rsid w:val="00374CC8"/>
    <w:rsid w:val="00374D66"/>
    <w:rsid w:val="00374E0E"/>
    <w:rsid w:val="00376D6D"/>
    <w:rsid w:val="00377A45"/>
    <w:rsid w:val="00380999"/>
    <w:rsid w:val="00381B8E"/>
    <w:rsid w:val="00381B9F"/>
    <w:rsid w:val="003848F1"/>
    <w:rsid w:val="00384DDA"/>
    <w:rsid w:val="003852C7"/>
    <w:rsid w:val="00385C60"/>
    <w:rsid w:val="00386DE7"/>
    <w:rsid w:val="00386EFC"/>
    <w:rsid w:val="00387423"/>
    <w:rsid w:val="00387AF8"/>
    <w:rsid w:val="003904AF"/>
    <w:rsid w:val="00390515"/>
    <w:rsid w:val="0039126A"/>
    <w:rsid w:val="0039268D"/>
    <w:rsid w:val="003929C1"/>
    <w:rsid w:val="00393571"/>
    <w:rsid w:val="00393843"/>
    <w:rsid w:val="00394919"/>
    <w:rsid w:val="003949A8"/>
    <w:rsid w:val="00394ADB"/>
    <w:rsid w:val="00395C1D"/>
    <w:rsid w:val="00396749"/>
    <w:rsid w:val="00396F7D"/>
    <w:rsid w:val="00397109"/>
    <w:rsid w:val="00397EEE"/>
    <w:rsid w:val="003A14BD"/>
    <w:rsid w:val="003A20DB"/>
    <w:rsid w:val="003A22BE"/>
    <w:rsid w:val="003A2766"/>
    <w:rsid w:val="003A28EB"/>
    <w:rsid w:val="003A30B2"/>
    <w:rsid w:val="003A367A"/>
    <w:rsid w:val="003A417E"/>
    <w:rsid w:val="003A4C34"/>
    <w:rsid w:val="003A7FEF"/>
    <w:rsid w:val="003B17FB"/>
    <w:rsid w:val="003B1C1E"/>
    <w:rsid w:val="003B3676"/>
    <w:rsid w:val="003B56CE"/>
    <w:rsid w:val="003B5898"/>
    <w:rsid w:val="003B5B02"/>
    <w:rsid w:val="003B6005"/>
    <w:rsid w:val="003B60B9"/>
    <w:rsid w:val="003B625D"/>
    <w:rsid w:val="003B7D67"/>
    <w:rsid w:val="003B7DC4"/>
    <w:rsid w:val="003C00DF"/>
    <w:rsid w:val="003C02E3"/>
    <w:rsid w:val="003C1A00"/>
    <w:rsid w:val="003C28FB"/>
    <w:rsid w:val="003C3694"/>
    <w:rsid w:val="003C6723"/>
    <w:rsid w:val="003D10CE"/>
    <w:rsid w:val="003D10FB"/>
    <w:rsid w:val="003D155E"/>
    <w:rsid w:val="003D223E"/>
    <w:rsid w:val="003D32DC"/>
    <w:rsid w:val="003D36DB"/>
    <w:rsid w:val="003D4866"/>
    <w:rsid w:val="003D5F78"/>
    <w:rsid w:val="003D6139"/>
    <w:rsid w:val="003D618F"/>
    <w:rsid w:val="003E0415"/>
    <w:rsid w:val="003E0451"/>
    <w:rsid w:val="003E1820"/>
    <w:rsid w:val="003E4D52"/>
    <w:rsid w:val="003E5678"/>
    <w:rsid w:val="003E628C"/>
    <w:rsid w:val="003E7469"/>
    <w:rsid w:val="003E752E"/>
    <w:rsid w:val="003F0FB4"/>
    <w:rsid w:val="003F0FD9"/>
    <w:rsid w:val="003F170B"/>
    <w:rsid w:val="003F1712"/>
    <w:rsid w:val="003F350F"/>
    <w:rsid w:val="003F4948"/>
    <w:rsid w:val="003F4F6D"/>
    <w:rsid w:val="003F583E"/>
    <w:rsid w:val="003F6489"/>
    <w:rsid w:val="003F6DE7"/>
    <w:rsid w:val="003F7236"/>
    <w:rsid w:val="003F7F1B"/>
    <w:rsid w:val="004015C9"/>
    <w:rsid w:val="00401FED"/>
    <w:rsid w:val="00402207"/>
    <w:rsid w:val="00402537"/>
    <w:rsid w:val="00402EBF"/>
    <w:rsid w:val="00403FC5"/>
    <w:rsid w:val="00404C40"/>
    <w:rsid w:val="00405895"/>
    <w:rsid w:val="00406004"/>
    <w:rsid w:val="004100EB"/>
    <w:rsid w:val="00411D65"/>
    <w:rsid w:val="004125AF"/>
    <w:rsid w:val="004127BE"/>
    <w:rsid w:val="004129E3"/>
    <w:rsid w:val="00412ED2"/>
    <w:rsid w:val="00412F05"/>
    <w:rsid w:val="00414057"/>
    <w:rsid w:val="00414325"/>
    <w:rsid w:val="0041441D"/>
    <w:rsid w:val="00414C34"/>
    <w:rsid w:val="0041550E"/>
    <w:rsid w:val="00415B7F"/>
    <w:rsid w:val="00416C57"/>
    <w:rsid w:val="0041701C"/>
    <w:rsid w:val="00417ABF"/>
    <w:rsid w:val="00417BDE"/>
    <w:rsid w:val="0042003D"/>
    <w:rsid w:val="00420E06"/>
    <w:rsid w:val="004216D6"/>
    <w:rsid w:val="0042177C"/>
    <w:rsid w:val="00423026"/>
    <w:rsid w:val="0042322D"/>
    <w:rsid w:val="00423815"/>
    <w:rsid w:val="004255A8"/>
    <w:rsid w:val="00426FC1"/>
    <w:rsid w:val="00427E36"/>
    <w:rsid w:val="0043086B"/>
    <w:rsid w:val="00431E33"/>
    <w:rsid w:val="00432F0E"/>
    <w:rsid w:val="00433232"/>
    <w:rsid w:val="0043340E"/>
    <w:rsid w:val="004339CD"/>
    <w:rsid w:val="00435102"/>
    <w:rsid w:val="00440853"/>
    <w:rsid w:val="00441341"/>
    <w:rsid w:val="004423B9"/>
    <w:rsid w:val="004425D8"/>
    <w:rsid w:val="00442C2D"/>
    <w:rsid w:val="00442F2B"/>
    <w:rsid w:val="0044351B"/>
    <w:rsid w:val="004459E0"/>
    <w:rsid w:val="0044651D"/>
    <w:rsid w:val="004503E6"/>
    <w:rsid w:val="00450D4D"/>
    <w:rsid w:val="0045209A"/>
    <w:rsid w:val="0045347D"/>
    <w:rsid w:val="0045471A"/>
    <w:rsid w:val="004559BC"/>
    <w:rsid w:val="00456402"/>
    <w:rsid w:val="0045692D"/>
    <w:rsid w:val="004569DD"/>
    <w:rsid w:val="00461E76"/>
    <w:rsid w:val="004640C7"/>
    <w:rsid w:val="00464210"/>
    <w:rsid w:val="0046473B"/>
    <w:rsid w:val="004648B8"/>
    <w:rsid w:val="004655CE"/>
    <w:rsid w:val="00465680"/>
    <w:rsid w:val="00467684"/>
    <w:rsid w:val="004700F0"/>
    <w:rsid w:val="0047074B"/>
    <w:rsid w:val="00471A1C"/>
    <w:rsid w:val="004745F1"/>
    <w:rsid w:val="00474C02"/>
    <w:rsid w:val="00475F44"/>
    <w:rsid w:val="00475FCF"/>
    <w:rsid w:val="00476BBC"/>
    <w:rsid w:val="00480E04"/>
    <w:rsid w:val="004810E4"/>
    <w:rsid w:val="00483268"/>
    <w:rsid w:val="004837BD"/>
    <w:rsid w:val="00483896"/>
    <w:rsid w:val="00483D78"/>
    <w:rsid w:val="00485F45"/>
    <w:rsid w:val="004869B5"/>
    <w:rsid w:val="00487C10"/>
    <w:rsid w:val="00487F6D"/>
    <w:rsid w:val="0049162F"/>
    <w:rsid w:val="00492A2B"/>
    <w:rsid w:val="00492BB2"/>
    <w:rsid w:val="00492C75"/>
    <w:rsid w:val="00493C89"/>
    <w:rsid w:val="00493E92"/>
    <w:rsid w:val="00494372"/>
    <w:rsid w:val="00497663"/>
    <w:rsid w:val="00497872"/>
    <w:rsid w:val="00497B6C"/>
    <w:rsid w:val="00497D47"/>
    <w:rsid w:val="00497DA0"/>
    <w:rsid w:val="004A154E"/>
    <w:rsid w:val="004A29CA"/>
    <w:rsid w:val="004A325F"/>
    <w:rsid w:val="004A3469"/>
    <w:rsid w:val="004A37DA"/>
    <w:rsid w:val="004A38C2"/>
    <w:rsid w:val="004A4B28"/>
    <w:rsid w:val="004A62CD"/>
    <w:rsid w:val="004A658B"/>
    <w:rsid w:val="004A728D"/>
    <w:rsid w:val="004A7390"/>
    <w:rsid w:val="004A76F7"/>
    <w:rsid w:val="004B005D"/>
    <w:rsid w:val="004B08C4"/>
    <w:rsid w:val="004B1442"/>
    <w:rsid w:val="004B14C9"/>
    <w:rsid w:val="004B2794"/>
    <w:rsid w:val="004B3BC2"/>
    <w:rsid w:val="004B3EE3"/>
    <w:rsid w:val="004B435D"/>
    <w:rsid w:val="004B443B"/>
    <w:rsid w:val="004B50C5"/>
    <w:rsid w:val="004B6852"/>
    <w:rsid w:val="004B69FB"/>
    <w:rsid w:val="004B6E18"/>
    <w:rsid w:val="004B73D4"/>
    <w:rsid w:val="004B769F"/>
    <w:rsid w:val="004B7A59"/>
    <w:rsid w:val="004B7CD8"/>
    <w:rsid w:val="004C3942"/>
    <w:rsid w:val="004C395F"/>
    <w:rsid w:val="004C3D91"/>
    <w:rsid w:val="004C5265"/>
    <w:rsid w:val="004C56D7"/>
    <w:rsid w:val="004C6E07"/>
    <w:rsid w:val="004C76DE"/>
    <w:rsid w:val="004D0D51"/>
    <w:rsid w:val="004D1DBB"/>
    <w:rsid w:val="004D3F3E"/>
    <w:rsid w:val="004D43A6"/>
    <w:rsid w:val="004D47E1"/>
    <w:rsid w:val="004D47F5"/>
    <w:rsid w:val="004D559F"/>
    <w:rsid w:val="004D685D"/>
    <w:rsid w:val="004E1411"/>
    <w:rsid w:val="004E2A7F"/>
    <w:rsid w:val="004E3235"/>
    <w:rsid w:val="004E3C31"/>
    <w:rsid w:val="004E3D0F"/>
    <w:rsid w:val="004E4E14"/>
    <w:rsid w:val="004E54E6"/>
    <w:rsid w:val="004E7760"/>
    <w:rsid w:val="004F099D"/>
    <w:rsid w:val="004F17BC"/>
    <w:rsid w:val="004F1854"/>
    <w:rsid w:val="004F20A4"/>
    <w:rsid w:val="004F24B9"/>
    <w:rsid w:val="004F25A6"/>
    <w:rsid w:val="004F3184"/>
    <w:rsid w:val="004F47C2"/>
    <w:rsid w:val="004F48DB"/>
    <w:rsid w:val="004F62AE"/>
    <w:rsid w:val="004F64FC"/>
    <w:rsid w:val="005012AF"/>
    <w:rsid w:val="00502FFC"/>
    <w:rsid w:val="0050361D"/>
    <w:rsid w:val="00504309"/>
    <w:rsid w:val="0050461A"/>
    <w:rsid w:val="00505213"/>
    <w:rsid w:val="00505F57"/>
    <w:rsid w:val="00506ED3"/>
    <w:rsid w:val="005072CC"/>
    <w:rsid w:val="00507C56"/>
    <w:rsid w:val="00511DA7"/>
    <w:rsid w:val="00512C43"/>
    <w:rsid w:val="00514BFC"/>
    <w:rsid w:val="005151DF"/>
    <w:rsid w:val="005151F4"/>
    <w:rsid w:val="005158AF"/>
    <w:rsid w:val="00515F0A"/>
    <w:rsid w:val="0051693E"/>
    <w:rsid w:val="00516C77"/>
    <w:rsid w:val="00516E2A"/>
    <w:rsid w:val="00517217"/>
    <w:rsid w:val="00517C21"/>
    <w:rsid w:val="005205DB"/>
    <w:rsid w:val="00520FAD"/>
    <w:rsid w:val="005214CF"/>
    <w:rsid w:val="005221CC"/>
    <w:rsid w:val="00522865"/>
    <w:rsid w:val="00524D1B"/>
    <w:rsid w:val="00525507"/>
    <w:rsid w:val="005260A4"/>
    <w:rsid w:val="005265AE"/>
    <w:rsid w:val="00526BC2"/>
    <w:rsid w:val="005301F7"/>
    <w:rsid w:val="0053037A"/>
    <w:rsid w:val="00530431"/>
    <w:rsid w:val="00532BB1"/>
    <w:rsid w:val="005330A4"/>
    <w:rsid w:val="005335AC"/>
    <w:rsid w:val="00534DE1"/>
    <w:rsid w:val="00535B4E"/>
    <w:rsid w:val="00535E96"/>
    <w:rsid w:val="005368FF"/>
    <w:rsid w:val="00536D2A"/>
    <w:rsid w:val="00536E36"/>
    <w:rsid w:val="00537745"/>
    <w:rsid w:val="0054017D"/>
    <w:rsid w:val="005406DF"/>
    <w:rsid w:val="00540A5E"/>
    <w:rsid w:val="00541234"/>
    <w:rsid w:val="00541CC6"/>
    <w:rsid w:val="00542647"/>
    <w:rsid w:val="0054292A"/>
    <w:rsid w:val="00542BD7"/>
    <w:rsid w:val="00544802"/>
    <w:rsid w:val="005448B2"/>
    <w:rsid w:val="00546184"/>
    <w:rsid w:val="005500F1"/>
    <w:rsid w:val="00550997"/>
    <w:rsid w:val="00551055"/>
    <w:rsid w:val="005520DE"/>
    <w:rsid w:val="005520E3"/>
    <w:rsid w:val="00553D5D"/>
    <w:rsid w:val="0055427F"/>
    <w:rsid w:val="00554AE4"/>
    <w:rsid w:val="00554CED"/>
    <w:rsid w:val="00554E55"/>
    <w:rsid w:val="005552B6"/>
    <w:rsid w:val="00555A1A"/>
    <w:rsid w:val="00557BAE"/>
    <w:rsid w:val="005601F1"/>
    <w:rsid w:val="005604CB"/>
    <w:rsid w:val="005618A6"/>
    <w:rsid w:val="0056191B"/>
    <w:rsid w:val="00562B66"/>
    <w:rsid w:val="00564CA6"/>
    <w:rsid w:val="00564D9C"/>
    <w:rsid w:val="005651D3"/>
    <w:rsid w:val="005667F3"/>
    <w:rsid w:val="00566AA8"/>
    <w:rsid w:val="00566E49"/>
    <w:rsid w:val="0057054F"/>
    <w:rsid w:val="005707D4"/>
    <w:rsid w:val="0057310E"/>
    <w:rsid w:val="00573D23"/>
    <w:rsid w:val="00573FF1"/>
    <w:rsid w:val="0057456D"/>
    <w:rsid w:val="00575E7E"/>
    <w:rsid w:val="00576DA5"/>
    <w:rsid w:val="0057777E"/>
    <w:rsid w:val="005807B0"/>
    <w:rsid w:val="00580DF4"/>
    <w:rsid w:val="00582009"/>
    <w:rsid w:val="0058222C"/>
    <w:rsid w:val="005829B6"/>
    <w:rsid w:val="00583ACC"/>
    <w:rsid w:val="00583B02"/>
    <w:rsid w:val="005857FA"/>
    <w:rsid w:val="00586308"/>
    <w:rsid w:val="00586C13"/>
    <w:rsid w:val="00586C6B"/>
    <w:rsid w:val="00587D89"/>
    <w:rsid w:val="00590069"/>
    <w:rsid w:val="00590514"/>
    <w:rsid w:val="00590B71"/>
    <w:rsid w:val="005919C7"/>
    <w:rsid w:val="00592E51"/>
    <w:rsid w:val="0059325A"/>
    <w:rsid w:val="005946FB"/>
    <w:rsid w:val="00594D13"/>
    <w:rsid w:val="00595D53"/>
    <w:rsid w:val="00597FE7"/>
    <w:rsid w:val="005A157F"/>
    <w:rsid w:val="005A1A37"/>
    <w:rsid w:val="005A3295"/>
    <w:rsid w:val="005A422F"/>
    <w:rsid w:val="005A4A5E"/>
    <w:rsid w:val="005A55AB"/>
    <w:rsid w:val="005A66A7"/>
    <w:rsid w:val="005A6C76"/>
    <w:rsid w:val="005A7F1D"/>
    <w:rsid w:val="005B05CC"/>
    <w:rsid w:val="005B065A"/>
    <w:rsid w:val="005B15D3"/>
    <w:rsid w:val="005B2288"/>
    <w:rsid w:val="005B34E9"/>
    <w:rsid w:val="005B366A"/>
    <w:rsid w:val="005B5400"/>
    <w:rsid w:val="005B6215"/>
    <w:rsid w:val="005C3817"/>
    <w:rsid w:val="005C3D67"/>
    <w:rsid w:val="005C43E7"/>
    <w:rsid w:val="005C444D"/>
    <w:rsid w:val="005C550E"/>
    <w:rsid w:val="005C6146"/>
    <w:rsid w:val="005C6675"/>
    <w:rsid w:val="005C681A"/>
    <w:rsid w:val="005C6B11"/>
    <w:rsid w:val="005C6BA1"/>
    <w:rsid w:val="005C79E0"/>
    <w:rsid w:val="005C7B46"/>
    <w:rsid w:val="005D0730"/>
    <w:rsid w:val="005D09A6"/>
    <w:rsid w:val="005D1069"/>
    <w:rsid w:val="005D13D6"/>
    <w:rsid w:val="005D23E7"/>
    <w:rsid w:val="005D2CF8"/>
    <w:rsid w:val="005D418E"/>
    <w:rsid w:val="005D533C"/>
    <w:rsid w:val="005D543F"/>
    <w:rsid w:val="005D6211"/>
    <w:rsid w:val="005D65AA"/>
    <w:rsid w:val="005D7C40"/>
    <w:rsid w:val="005D7CED"/>
    <w:rsid w:val="005E0AA9"/>
    <w:rsid w:val="005E196A"/>
    <w:rsid w:val="005E1CB0"/>
    <w:rsid w:val="005E3E93"/>
    <w:rsid w:val="005E415A"/>
    <w:rsid w:val="005E6DAC"/>
    <w:rsid w:val="005F0473"/>
    <w:rsid w:val="005F1858"/>
    <w:rsid w:val="005F1E74"/>
    <w:rsid w:val="005F2608"/>
    <w:rsid w:val="005F2A7E"/>
    <w:rsid w:val="005F3114"/>
    <w:rsid w:val="005F47B6"/>
    <w:rsid w:val="005F71D4"/>
    <w:rsid w:val="005F7B50"/>
    <w:rsid w:val="006002EB"/>
    <w:rsid w:val="00600307"/>
    <w:rsid w:val="00600815"/>
    <w:rsid w:val="006008BE"/>
    <w:rsid w:val="00602484"/>
    <w:rsid w:val="00602C78"/>
    <w:rsid w:val="0060373C"/>
    <w:rsid w:val="00603C8A"/>
    <w:rsid w:val="00604BCB"/>
    <w:rsid w:val="006054C2"/>
    <w:rsid w:val="006065BE"/>
    <w:rsid w:val="00606C88"/>
    <w:rsid w:val="006078E7"/>
    <w:rsid w:val="0061065D"/>
    <w:rsid w:val="00611A78"/>
    <w:rsid w:val="00611F4F"/>
    <w:rsid w:val="0061244D"/>
    <w:rsid w:val="0061455F"/>
    <w:rsid w:val="00614700"/>
    <w:rsid w:val="00614ADD"/>
    <w:rsid w:val="00614DFB"/>
    <w:rsid w:val="006162C2"/>
    <w:rsid w:val="006166BC"/>
    <w:rsid w:val="006169F2"/>
    <w:rsid w:val="00616D8A"/>
    <w:rsid w:val="00622FF3"/>
    <w:rsid w:val="00623AA4"/>
    <w:rsid w:val="006242A7"/>
    <w:rsid w:val="006246AE"/>
    <w:rsid w:val="00625B7C"/>
    <w:rsid w:val="006260FE"/>
    <w:rsid w:val="006269DF"/>
    <w:rsid w:val="006305AD"/>
    <w:rsid w:val="006320BD"/>
    <w:rsid w:val="00632E55"/>
    <w:rsid w:val="00633178"/>
    <w:rsid w:val="0063477F"/>
    <w:rsid w:val="00634B12"/>
    <w:rsid w:val="00634D8A"/>
    <w:rsid w:val="00634EB9"/>
    <w:rsid w:val="00636D22"/>
    <w:rsid w:val="006374D6"/>
    <w:rsid w:val="00637A9B"/>
    <w:rsid w:val="00642902"/>
    <w:rsid w:val="0064408B"/>
    <w:rsid w:val="006441AB"/>
    <w:rsid w:val="00644936"/>
    <w:rsid w:val="00644E3B"/>
    <w:rsid w:val="00644F08"/>
    <w:rsid w:val="00645050"/>
    <w:rsid w:val="00645346"/>
    <w:rsid w:val="00645D12"/>
    <w:rsid w:val="00646BA6"/>
    <w:rsid w:val="00647123"/>
    <w:rsid w:val="0064718F"/>
    <w:rsid w:val="00647C15"/>
    <w:rsid w:val="006511F2"/>
    <w:rsid w:val="00652130"/>
    <w:rsid w:val="006523FE"/>
    <w:rsid w:val="00652539"/>
    <w:rsid w:val="00652C6D"/>
    <w:rsid w:val="00656641"/>
    <w:rsid w:val="00660613"/>
    <w:rsid w:val="0066133E"/>
    <w:rsid w:val="00661FF6"/>
    <w:rsid w:val="00662721"/>
    <w:rsid w:val="00662C54"/>
    <w:rsid w:val="00664074"/>
    <w:rsid w:val="00665573"/>
    <w:rsid w:val="00665952"/>
    <w:rsid w:val="006660DE"/>
    <w:rsid w:val="00666974"/>
    <w:rsid w:val="00667521"/>
    <w:rsid w:val="00671539"/>
    <w:rsid w:val="00671CEE"/>
    <w:rsid w:val="00672171"/>
    <w:rsid w:val="006725B8"/>
    <w:rsid w:val="00672867"/>
    <w:rsid w:val="00672C7A"/>
    <w:rsid w:val="00672F23"/>
    <w:rsid w:val="00673DB2"/>
    <w:rsid w:val="00673F55"/>
    <w:rsid w:val="006753E7"/>
    <w:rsid w:val="0067556F"/>
    <w:rsid w:val="006755AE"/>
    <w:rsid w:val="00676266"/>
    <w:rsid w:val="00676B7A"/>
    <w:rsid w:val="006800B8"/>
    <w:rsid w:val="00680DBC"/>
    <w:rsid w:val="00682993"/>
    <w:rsid w:val="00683D15"/>
    <w:rsid w:val="006841FD"/>
    <w:rsid w:val="0068420D"/>
    <w:rsid w:val="00684282"/>
    <w:rsid w:val="006864E7"/>
    <w:rsid w:val="006875F3"/>
    <w:rsid w:val="00687B94"/>
    <w:rsid w:val="00687D79"/>
    <w:rsid w:val="00690B9A"/>
    <w:rsid w:val="0069121E"/>
    <w:rsid w:val="0069259D"/>
    <w:rsid w:val="00693F9B"/>
    <w:rsid w:val="006945B6"/>
    <w:rsid w:val="00694768"/>
    <w:rsid w:val="0069495B"/>
    <w:rsid w:val="0069578E"/>
    <w:rsid w:val="00697463"/>
    <w:rsid w:val="006A1607"/>
    <w:rsid w:val="006A38E4"/>
    <w:rsid w:val="006A4A73"/>
    <w:rsid w:val="006A609C"/>
    <w:rsid w:val="006A676B"/>
    <w:rsid w:val="006A6B25"/>
    <w:rsid w:val="006A6FEE"/>
    <w:rsid w:val="006B1077"/>
    <w:rsid w:val="006B2C30"/>
    <w:rsid w:val="006B2FB2"/>
    <w:rsid w:val="006B3402"/>
    <w:rsid w:val="006B45B2"/>
    <w:rsid w:val="006B6B72"/>
    <w:rsid w:val="006B7739"/>
    <w:rsid w:val="006B784F"/>
    <w:rsid w:val="006C22B3"/>
    <w:rsid w:val="006C3C55"/>
    <w:rsid w:val="006C3D6E"/>
    <w:rsid w:val="006C5ACF"/>
    <w:rsid w:val="006C6E16"/>
    <w:rsid w:val="006C6F64"/>
    <w:rsid w:val="006C7525"/>
    <w:rsid w:val="006D1950"/>
    <w:rsid w:val="006D1A6B"/>
    <w:rsid w:val="006D1D5C"/>
    <w:rsid w:val="006D1FDC"/>
    <w:rsid w:val="006D228C"/>
    <w:rsid w:val="006D2508"/>
    <w:rsid w:val="006D2715"/>
    <w:rsid w:val="006D317A"/>
    <w:rsid w:val="006D3E3E"/>
    <w:rsid w:val="006D5A73"/>
    <w:rsid w:val="006D5B58"/>
    <w:rsid w:val="006D5C43"/>
    <w:rsid w:val="006D67E7"/>
    <w:rsid w:val="006D6A16"/>
    <w:rsid w:val="006D76A2"/>
    <w:rsid w:val="006E12CA"/>
    <w:rsid w:val="006E1321"/>
    <w:rsid w:val="006E1C85"/>
    <w:rsid w:val="006E23FF"/>
    <w:rsid w:val="006E2A80"/>
    <w:rsid w:val="006E2EA6"/>
    <w:rsid w:val="006E38BA"/>
    <w:rsid w:val="006E4F18"/>
    <w:rsid w:val="006E6ABD"/>
    <w:rsid w:val="006F06B5"/>
    <w:rsid w:val="006F0C5D"/>
    <w:rsid w:val="006F1227"/>
    <w:rsid w:val="006F137F"/>
    <w:rsid w:val="006F1AE8"/>
    <w:rsid w:val="006F206D"/>
    <w:rsid w:val="006F262B"/>
    <w:rsid w:val="006F4714"/>
    <w:rsid w:val="006F5634"/>
    <w:rsid w:val="006F5F7C"/>
    <w:rsid w:val="006F674D"/>
    <w:rsid w:val="006F692E"/>
    <w:rsid w:val="006F75E9"/>
    <w:rsid w:val="006F7A8D"/>
    <w:rsid w:val="00700249"/>
    <w:rsid w:val="00700D04"/>
    <w:rsid w:val="00701B39"/>
    <w:rsid w:val="0070349B"/>
    <w:rsid w:val="00703705"/>
    <w:rsid w:val="0070423D"/>
    <w:rsid w:val="0070425D"/>
    <w:rsid w:val="00704757"/>
    <w:rsid w:val="00704B44"/>
    <w:rsid w:val="00704B4C"/>
    <w:rsid w:val="0070566D"/>
    <w:rsid w:val="00706C23"/>
    <w:rsid w:val="00706CA8"/>
    <w:rsid w:val="0070757C"/>
    <w:rsid w:val="00707BD9"/>
    <w:rsid w:val="00711764"/>
    <w:rsid w:val="0071197D"/>
    <w:rsid w:val="00711DFB"/>
    <w:rsid w:val="00711F2A"/>
    <w:rsid w:val="00712040"/>
    <w:rsid w:val="00712973"/>
    <w:rsid w:val="00713467"/>
    <w:rsid w:val="007137B7"/>
    <w:rsid w:val="00714229"/>
    <w:rsid w:val="00714912"/>
    <w:rsid w:val="00714FB4"/>
    <w:rsid w:val="00720BF6"/>
    <w:rsid w:val="0072190C"/>
    <w:rsid w:val="00721A68"/>
    <w:rsid w:val="0072278D"/>
    <w:rsid w:val="007229C6"/>
    <w:rsid w:val="00722C3F"/>
    <w:rsid w:val="0072381C"/>
    <w:rsid w:val="007239AF"/>
    <w:rsid w:val="00723AC7"/>
    <w:rsid w:val="007245EA"/>
    <w:rsid w:val="0072484F"/>
    <w:rsid w:val="00724CF9"/>
    <w:rsid w:val="00725CFD"/>
    <w:rsid w:val="00725E6E"/>
    <w:rsid w:val="00725FDC"/>
    <w:rsid w:val="0072636D"/>
    <w:rsid w:val="00726824"/>
    <w:rsid w:val="00727516"/>
    <w:rsid w:val="00731ED6"/>
    <w:rsid w:val="00732BA5"/>
    <w:rsid w:val="007344B2"/>
    <w:rsid w:val="00734888"/>
    <w:rsid w:val="007359FD"/>
    <w:rsid w:val="007365C3"/>
    <w:rsid w:val="007372F3"/>
    <w:rsid w:val="00737BF6"/>
    <w:rsid w:val="00740249"/>
    <w:rsid w:val="00740C0D"/>
    <w:rsid w:val="00740CA8"/>
    <w:rsid w:val="00740EED"/>
    <w:rsid w:val="00741C72"/>
    <w:rsid w:val="00742CB1"/>
    <w:rsid w:val="00743180"/>
    <w:rsid w:val="00744391"/>
    <w:rsid w:val="00744D30"/>
    <w:rsid w:val="00745013"/>
    <w:rsid w:val="00745373"/>
    <w:rsid w:val="00745485"/>
    <w:rsid w:val="00745558"/>
    <w:rsid w:val="00745ABE"/>
    <w:rsid w:val="00746022"/>
    <w:rsid w:val="00746093"/>
    <w:rsid w:val="00746BC4"/>
    <w:rsid w:val="00747104"/>
    <w:rsid w:val="00747A17"/>
    <w:rsid w:val="007511E4"/>
    <w:rsid w:val="0075178D"/>
    <w:rsid w:val="00751CFB"/>
    <w:rsid w:val="00752730"/>
    <w:rsid w:val="00752E11"/>
    <w:rsid w:val="00753515"/>
    <w:rsid w:val="0075402D"/>
    <w:rsid w:val="007540CF"/>
    <w:rsid w:val="0075457B"/>
    <w:rsid w:val="00754BC6"/>
    <w:rsid w:val="00754CD2"/>
    <w:rsid w:val="00755D14"/>
    <w:rsid w:val="00756510"/>
    <w:rsid w:val="00757297"/>
    <w:rsid w:val="0075756A"/>
    <w:rsid w:val="007579BA"/>
    <w:rsid w:val="0076206F"/>
    <w:rsid w:val="007625E2"/>
    <w:rsid w:val="00763DC4"/>
    <w:rsid w:val="00764802"/>
    <w:rsid w:val="00764CCE"/>
    <w:rsid w:val="00765C47"/>
    <w:rsid w:val="00766D61"/>
    <w:rsid w:val="007671B8"/>
    <w:rsid w:val="00767601"/>
    <w:rsid w:val="00770041"/>
    <w:rsid w:val="00770791"/>
    <w:rsid w:val="007712B2"/>
    <w:rsid w:val="0077193D"/>
    <w:rsid w:val="00772B17"/>
    <w:rsid w:val="00772B5F"/>
    <w:rsid w:val="00772FB9"/>
    <w:rsid w:val="00773A1C"/>
    <w:rsid w:val="00773FA3"/>
    <w:rsid w:val="00774751"/>
    <w:rsid w:val="0077495A"/>
    <w:rsid w:val="00774B05"/>
    <w:rsid w:val="00775C7A"/>
    <w:rsid w:val="00775DD3"/>
    <w:rsid w:val="0077661C"/>
    <w:rsid w:val="00776D2D"/>
    <w:rsid w:val="007774F9"/>
    <w:rsid w:val="00777878"/>
    <w:rsid w:val="00777E49"/>
    <w:rsid w:val="00783DEA"/>
    <w:rsid w:val="00783F2C"/>
    <w:rsid w:val="0078475F"/>
    <w:rsid w:val="00785171"/>
    <w:rsid w:val="0078527C"/>
    <w:rsid w:val="00785980"/>
    <w:rsid w:val="00786B24"/>
    <w:rsid w:val="00787093"/>
    <w:rsid w:val="00787BDA"/>
    <w:rsid w:val="007902FA"/>
    <w:rsid w:val="00790D05"/>
    <w:rsid w:val="00790F43"/>
    <w:rsid w:val="0079215E"/>
    <w:rsid w:val="007924A1"/>
    <w:rsid w:val="00792762"/>
    <w:rsid w:val="00792C80"/>
    <w:rsid w:val="0079350F"/>
    <w:rsid w:val="00793D8C"/>
    <w:rsid w:val="0079549E"/>
    <w:rsid w:val="0079626B"/>
    <w:rsid w:val="00797CEB"/>
    <w:rsid w:val="007A08BB"/>
    <w:rsid w:val="007A31B3"/>
    <w:rsid w:val="007A4B38"/>
    <w:rsid w:val="007B019F"/>
    <w:rsid w:val="007B0B95"/>
    <w:rsid w:val="007B0D5F"/>
    <w:rsid w:val="007B1DD4"/>
    <w:rsid w:val="007B2299"/>
    <w:rsid w:val="007B320C"/>
    <w:rsid w:val="007B57A7"/>
    <w:rsid w:val="007B5BD3"/>
    <w:rsid w:val="007B5DB6"/>
    <w:rsid w:val="007B5E10"/>
    <w:rsid w:val="007B6976"/>
    <w:rsid w:val="007B7E37"/>
    <w:rsid w:val="007C1310"/>
    <w:rsid w:val="007C14F7"/>
    <w:rsid w:val="007C1B1F"/>
    <w:rsid w:val="007C1B37"/>
    <w:rsid w:val="007C293F"/>
    <w:rsid w:val="007C29EC"/>
    <w:rsid w:val="007C3467"/>
    <w:rsid w:val="007C486A"/>
    <w:rsid w:val="007C4E9C"/>
    <w:rsid w:val="007C5498"/>
    <w:rsid w:val="007C60CE"/>
    <w:rsid w:val="007C6218"/>
    <w:rsid w:val="007C6426"/>
    <w:rsid w:val="007C68F4"/>
    <w:rsid w:val="007C798A"/>
    <w:rsid w:val="007D0B6F"/>
    <w:rsid w:val="007D160F"/>
    <w:rsid w:val="007D1B3B"/>
    <w:rsid w:val="007D3A93"/>
    <w:rsid w:val="007D3EA5"/>
    <w:rsid w:val="007D4E7C"/>
    <w:rsid w:val="007D51D8"/>
    <w:rsid w:val="007D5CD2"/>
    <w:rsid w:val="007D6A9A"/>
    <w:rsid w:val="007D7976"/>
    <w:rsid w:val="007E0E60"/>
    <w:rsid w:val="007E1410"/>
    <w:rsid w:val="007E1BB5"/>
    <w:rsid w:val="007E289D"/>
    <w:rsid w:val="007E37C1"/>
    <w:rsid w:val="007E3B42"/>
    <w:rsid w:val="007E3CFA"/>
    <w:rsid w:val="007E3E10"/>
    <w:rsid w:val="007E4643"/>
    <w:rsid w:val="007E6306"/>
    <w:rsid w:val="007F0B82"/>
    <w:rsid w:val="007F0FB5"/>
    <w:rsid w:val="007F13C9"/>
    <w:rsid w:val="007F2E41"/>
    <w:rsid w:val="007F308F"/>
    <w:rsid w:val="007F3235"/>
    <w:rsid w:val="007F3601"/>
    <w:rsid w:val="007F3B45"/>
    <w:rsid w:val="007F4422"/>
    <w:rsid w:val="007F530C"/>
    <w:rsid w:val="007F6364"/>
    <w:rsid w:val="007F665D"/>
    <w:rsid w:val="007F6B81"/>
    <w:rsid w:val="007F73F0"/>
    <w:rsid w:val="007F7E2A"/>
    <w:rsid w:val="0080051F"/>
    <w:rsid w:val="00800F5E"/>
    <w:rsid w:val="00802716"/>
    <w:rsid w:val="00802DB9"/>
    <w:rsid w:val="00805849"/>
    <w:rsid w:val="00806010"/>
    <w:rsid w:val="00806CBC"/>
    <w:rsid w:val="00806CD1"/>
    <w:rsid w:val="00810197"/>
    <w:rsid w:val="0081021D"/>
    <w:rsid w:val="008103C7"/>
    <w:rsid w:val="00811617"/>
    <w:rsid w:val="00812634"/>
    <w:rsid w:val="00813C2E"/>
    <w:rsid w:val="00815626"/>
    <w:rsid w:val="008156A1"/>
    <w:rsid w:val="008157AC"/>
    <w:rsid w:val="00815883"/>
    <w:rsid w:val="00816A57"/>
    <w:rsid w:val="00816DC4"/>
    <w:rsid w:val="00816EBF"/>
    <w:rsid w:val="00817195"/>
    <w:rsid w:val="00817990"/>
    <w:rsid w:val="00817DD6"/>
    <w:rsid w:val="00817F43"/>
    <w:rsid w:val="0082080F"/>
    <w:rsid w:val="00822021"/>
    <w:rsid w:val="00822C47"/>
    <w:rsid w:val="008232F2"/>
    <w:rsid w:val="00823D85"/>
    <w:rsid w:val="008245C3"/>
    <w:rsid w:val="00824992"/>
    <w:rsid w:val="008265F9"/>
    <w:rsid w:val="00827A5F"/>
    <w:rsid w:val="0083146D"/>
    <w:rsid w:val="008314A1"/>
    <w:rsid w:val="008315D2"/>
    <w:rsid w:val="00831F5D"/>
    <w:rsid w:val="0083303A"/>
    <w:rsid w:val="00834E68"/>
    <w:rsid w:val="00835E04"/>
    <w:rsid w:val="008362B1"/>
    <w:rsid w:val="00836F6B"/>
    <w:rsid w:val="0083770B"/>
    <w:rsid w:val="00841CAD"/>
    <w:rsid w:val="008442C5"/>
    <w:rsid w:val="00844760"/>
    <w:rsid w:val="00844F54"/>
    <w:rsid w:val="00845274"/>
    <w:rsid w:val="00845EA9"/>
    <w:rsid w:val="0084773F"/>
    <w:rsid w:val="00847F50"/>
    <w:rsid w:val="0085142C"/>
    <w:rsid w:val="00851734"/>
    <w:rsid w:val="00851745"/>
    <w:rsid w:val="00851C48"/>
    <w:rsid w:val="00852153"/>
    <w:rsid w:val="008521F2"/>
    <w:rsid w:val="008524F8"/>
    <w:rsid w:val="00852ACC"/>
    <w:rsid w:val="00854C78"/>
    <w:rsid w:val="008556E0"/>
    <w:rsid w:val="00857B21"/>
    <w:rsid w:val="008619AE"/>
    <w:rsid w:val="0086268E"/>
    <w:rsid w:val="008630CB"/>
    <w:rsid w:val="008663AE"/>
    <w:rsid w:val="00866AF5"/>
    <w:rsid w:val="00872657"/>
    <w:rsid w:val="00872D2A"/>
    <w:rsid w:val="00872E28"/>
    <w:rsid w:val="008740E1"/>
    <w:rsid w:val="0087496B"/>
    <w:rsid w:val="00875661"/>
    <w:rsid w:val="008766EE"/>
    <w:rsid w:val="00877DD6"/>
    <w:rsid w:val="008800DB"/>
    <w:rsid w:val="008809B5"/>
    <w:rsid w:val="00880EDF"/>
    <w:rsid w:val="0088207B"/>
    <w:rsid w:val="00884795"/>
    <w:rsid w:val="00885592"/>
    <w:rsid w:val="00885AAF"/>
    <w:rsid w:val="00885FD2"/>
    <w:rsid w:val="00890D62"/>
    <w:rsid w:val="00891B1B"/>
    <w:rsid w:val="00892D36"/>
    <w:rsid w:val="00894235"/>
    <w:rsid w:val="00894371"/>
    <w:rsid w:val="0089570A"/>
    <w:rsid w:val="00896DAD"/>
    <w:rsid w:val="0089771C"/>
    <w:rsid w:val="008A0F19"/>
    <w:rsid w:val="008A20D9"/>
    <w:rsid w:val="008A24A2"/>
    <w:rsid w:val="008A6772"/>
    <w:rsid w:val="008A74F9"/>
    <w:rsid w:val="008B06E6"/>
    <w:rsid w:val="008B18F0"/>
    <w:rsid w:val="008B3BC9"/>
    <w:rsid w:val="008B4C4C"/>
    <w:rsid w:val="008B529F"/>
    <w:rsid w:val="008C1394"/>
    <w:rsid w:val="008C286F"/>
    <w:rsid w:val="008C2F1C"/>
    <w:rsid w:val="008C3A3B"/>
    <w:rsid w:val="008C4510"/>
    <w:rsid w:val="008C4874"/>
    <w:rsid w:val="008C50F9"/>
    <w:rsid w:val="008C52F1"/>
    <w:rsid w:val="008C6657"/>
    <w:rsid w:val="008D0F1F"/>
    <w:rsid w:val="008D102B"/>
    <w:rsid w:val="008D21BF"/>
    <w:rsid w:val="008D3FBA"/>
    <w:rsid w:val="008D4DF4"/>
    <w:rsid w:val="008D5DEA"/>
    <w:rsid w:val="008E01B9"/>
    <w:rsid w:val="008E13A2"/>
    <w:rsid w:val="008E1658"/>
    <w:rsid w:val="008E18BD"/>
    <w:rsid w:val="008E235D"/>
    <w:rsid w:val="008E37B8"/>
    <w:rsid w:val="008E4EBB"/>
    <w:rsid w:val="008E5471"/>
    <w:rsid w:val="008E5DE3"/>
    <w:rsid w:val="008E63CD"/>
    <w:rsid w:val="008E658F"/>
    <w:rsid w:val="008E66BF"/>
    <w:rsid w:val="008E7A2A"/>
    <w:rsid w:val="008F0630"/>
    <w:rsid w:val="008F112B"/>
    <w:rsid w:val="008F277A"/>
    <w:rsid w:val="008F28A0"/>
    <w:rsid w:val="008F2950"/>
    <w:rsid w:val="008F320F"/>
    <w:rsid w:val="008F4C47"/>
    <w:rsid w:val="008F5D0B"/>
    <w:rsid w:val="008F759B"/>
    <w:rsid w:val="009000C7"/>
    <w:rsid w:val="00900EB7"/>
    <w:rsid w:val="0090164D"/>
    <w:rsid w:val="0090213F"/>
    <w:rsid w:val="0090234E"/>
    <w:rsid w:val="009023A3"/>
    <w:rsid w:val="00902992"/>
    <w:rsid w:val="00902CD6"/>
    <w:rsid w:val="0090361D"/>
    <w:rsid w:val="00903B5D"/>
    <w:rsid w:val="00903C2C"/>
    <w:rsid w:val="00904C52"/>
    <w:rsid w:val="00905A95"/>
    <w:rsid w:val="00905E88"/>
    <w:rsid w:val="0090761D"/>
    <w:rsid w:val="00910836"/>
    <w:rsid w:val="009121D4"/>
    <w:rsid w:val="009122AE"/>
    <w:rsid w:val="00912D46"/>
    <w:rsid w:val="00913DAD"/>
    <w:rsid w:val="00913F11"/>
    <w:rsid w:val="009145CF"/>
    <w:rsid w:val="00915471"/>
    <w:rsid w:val="009176F6"/>
    <w:rsid w:val="00917E1C"/>
    <w:rsid w:val="00920721"/>
    <w:rsid w:val="00921A19"/>
    <w:rsid w:val="00922BE1"/>
    <w:rsid w:val="00923460"/>
    <w:rsid w:val="00924BDF"/>
    <w:rsid w:val="0092565F"/>
    <w:rsid w:val="00925F00"/>
    <w:rsid w:val="00926744"/>
    <w:rsid w:val="00926824"/>
    <w:rsid w:val="00927209"/>
    <w:rsid w:val="009278CE"/>
    <w:rsid w:val="009279FA"/>
    <w:rsid w:val="00927DCF"/>
    <w:rsid w:val="00930253"/>
    <w:rsid w:val="00930E5F"/>
    <w:rsid w:val="00931BCF"/>
    <w:rsid w:val="00933EDF"/>
    <w:rsid w:val="009343CD"/>
    <w:rsid w:val="00934825"/>
    <w:rsid w:val="00934CC8"/>
    <w:rsid w:val="00934ED9"/>
    <w:rsid w:val="00935841"/>
    <w:rsid w:val="00940CA3"/>
    <w:rsid w:val="009417B6"/>
    <w:rsid w:val="00941B39"/>
    <w:rsid w:val="00941C59"/>
    <w:rsid w:val="00941EC1"/>
    <w:rsid w:val="0094249E"/>
    <w:rsid w:val="009428BA"/>
    <w:rsid w:val="00942A55"/>
    <w:rsid w:val="0094359F"/>
    <w:rsid w:val="00944575"/>
    <w:rsid w:val="0094469A"/>
    <w:rsid w:val="009446CE"/>
    <w:rsid w:val="009478DC"/>
    <w:rsid w:val="0094796D"/>
    <w:rsid w:val="00950D87"/>
    <w:rsid w:val="00951061"/>
    <w:rsid w:val="00951886"/>
    <w:rsid w:val="00951A92"/>
    <w:rsid w:val="009522B1"/>
    <w:rsid w:val="009536C5"/>
    <w:rsid w:val="00953A2B"/>
    <w:rsid w:val="00953C7C"/>
    <w:rsid w:val="00953EB7"/>
    <w:rsid w:val="00954516"/>
    <w:rsid w:val="00955620"/>
    <w:rsid w:val="00955941"/>
    <w:rsid w:val="0095596D"/>
    <w:rsid w:val="00956555"/>
    <w:rsid w:val="009566CF"/>
    <w:rsid w:val="009567E5"/>
    <w:rsid w:val="00957FD8"/>
    <w:rsid w:val="00960993"/>
    <w:rsid w:val="00960B37"/>
    <w:rsid w:val="0096155C"/>
    <w:rsid w:val="00961FA7"/>
    <w:rsid w:val="009632E6"/>
    <w:rsid w:val="00963F4C"/>
    <w:rsid w:val="0096457B"/>
    <w:rsid w:val="009657F2"/>
    <w:rsid w:val="00965D1F"/>
    <w:rsid w:val="00967218"/>
    <w:rsid w:val="00970A98"/>
    <w:rsid w:val="00970C9E"/>
    <w:rsid w:val="0097145C"/>
    <w:rsid w:val="00971547"/>
    <w:rsid w:val="00971CD1"/>
    <w:rsid w:val="00972B04"/>
    <w:rsid w:val="009735C5"/>
    <w:rsid w:val="009736C4"/>
    <w:rsid w:val="00973AEF"/>
    <w:rsid w:val="00975A21"/>
    <w:rsid w:val="00976908"/>
    <w:rsid w:val="009779FA"/>
    <w:rsid w:val="00977EDD"/>
    <w:rsid w:val="00980100"/>
    <w:rsid w:val="009814D3"/>
    <w:rsid w:val="009818BB"/>
    <w:rsid w:val="00981AB9"/>
    <w:rsid w:val="0098266A"/>
    <w:rsid w:val="009831F4"/>
    <w:rsid w:val="0098398A"/>
    <w:rsid w:val="00984027"/>
    <w:rsid w:val="0098595A"/>
    <w:rsid w:val="00986E06"/>
    <w:rsid w:val="0099014C"/>
    <w:rsid w:val="0099310D"/>
    <w:rsid w:val="009938AD"/>
    <w:rsid w:val="00993C00"/>
    <w:rsid w:val="00994C03"/>
    <w:rsid w:val="00994C7C"/>
    <w:rsid w:val="00995CBA"/>
    <w:rsid w:val="009A03D8"/>
    <w:rsid w:val="009A0722"/>
    <w:rsid w:val="009A0B11"/>
    <w:rsid w:val="009A1E4B"/>
    <w:rsid w:val="009A213D"/>
    <w:rsid w:val="009A2A2B"/>
    <w:rsid w:val="009A2C55"/>
    <w:rsid w:val="009A4155"/>
    <w:rsid w:val="009A4D3E"/>
    <w:rsid w:val="009A52DD"/>
    <w:rsid w:val="009A5436"/>
    <w:rsid w:val="009A5D80"/>
    <w:rsid w:val="009A6313"/>
    <w:rsid w:val="009A67A6"/>
    <w:rsid w:val="009A6B38"/>
    <w:rsid w:val="009A7830"/>
    <w:rsid w:val="009B13AB"/>
    <w:rsid w:val="009B2A20"/>
    <w:rsid w:val="009B3691"/>
    <w:rsid w:val="009B3F3C"/>
    <w:rsid w:val="009B478D"/>
    <w:rsid w:val="009B4A5B"/>
    <w:rsid w:val="009B51D4"/>
    <w:rsid w:val="009B530D"/>
    <w:rsid w:val="009B5540"/>
    <w:rsid w:val="009B5589"/>
    <w:rsid w:val="009B6BFC"/>
    <w:rsid w:val="009B72D9"/>
    <w:rsid w:val="009B7F4A"/>
    <w:rsid w:val="009C0654"/>
    <w:rsid w:val="009C0FD5"/>
    <w:rsid w:val="009C1419"/>
    <w:rsid w:val="009C1D0C"/>
    <w:rsid w:val="009C206D"/>
    <w:rsid w:val="009C27BC"/>
    <w:rsid w:val="009C3BB4"/>
    <w:rsid w:val="009C42F0"/>
    <w:rsid w:val="009C4B25"/>
    <w:rsid w:val="009C527A"/>
    <w:rsid w:val="009C7D7F"/>
    <w:rsid w:val="009D0D3F"/>
    <w:rsid w:val="009D13BE"/>
    <w:rsid w:val="009D34E1"/>
    <w:rsid w:val="009D4AB7"/>
    <w:rsid w:val="009D74ED"/>
    <w:rsid w:val="009D7E73"/>
    <w:rsid w:val="009D7F0C"/>
    <w:rsid w:val="009D7FB8"/>
    <w:rsid w:val="009E03EB"/>
    <w:rsid w:val="009E0A8B"/>
    <w:rsid w:val="009E2ED4"/>
    <w:rsid w:val="009E3520"/>
    <w:rsid w:val="009E6B62"/>
    <w:rsid w:val="009E7F1C"/>
    <w:rsid w:val="009F00AA"/>
    <w:rsid w:val="009F030D"/>
    <w:rsid w:val="009F03F3"/>
    <w:rsid w:val="009F0A00"/>
    <w:rsid w:val="009F0E43"/>
    <w:rsid w:val="009F1243"/>
    <w:rsid w:val="009F12AC"/>
    <w:rsid w:val="009F2245"/>
    <w:rsid w:val="009F3472"/>
    <w:rsid w:val="009F3ED6"/>
    <w:rsid w:val="009F6488"/>
    <w:rsid w:val="009F78E5"/>
    <w:rsid w:val="00A0076B"/>
    <w:rsid w:val="00A0108F"/>
    <w:rsid w:val="00A02671"/>
    <w:rsid w:val="00A029A3"/>
    <w:rsid w:val="00A02E1B"/>
    <w:rsid w:val="00A03958"/>
    <w:rsid w:val="00A03EE3"/>
    <w:rsid w:val="00A04482"/>
    <w:rsid w:val="00A07AD9"/>
    <w:rsid w:val="00A12282"/>
    <w:rsid w:val="00A12C87"/>
    <w:rsid w:val="00A12E37"/>
    <w:rsid w:val="00A13099"/>
    <w:rsid w:val="00A13D93"/>
    <w:rsid w:val="00A14022"/>
    <w:rsid w:val="00A14115"/>
    <w:rsid w:val="00A14A56"/>
    <w:rsid w:val="00A14F6F"/>
    <w:rsid w:val="00A16316"/>
    <w:rsid w:val="00A203C9"/>
    <w:rsid w:val="00A20C34"/>
    <w:rsid w:val="00A21EEC"/>
    <w:rsid w:val="00A224FE"/>
    <w:rsid w:val="00A22A7E"/>
    <w:rsid w:val="00A23B35"/>
    <w:rsid w:val="00A2418B"/>
    <w:rsid w:val="00A24E8F"/>
    <w:rsid w:val="00A267DA"/>
    <w:rsid w:val="00A26F92"/>
    <w:rsid w:val="00A2776E"/>
    <w:rsid w:val="00A27BCE"/>
    <w:rsid w:val="00A27C58"/>
    <w:rsid w:val="00A31655"/>
    <w:rsid w:val="00A316F3"/>
    <w:rsid w:val="00A327B1"/>
    <w:rsid w:val="00A32CD3"/>
    <w:rsid w:val="00A33526"/>
    <w:rsid w:val="00A3357A"/>
    <w:rsid w:val="00A33A90"/>
    <w:rsid w:val="00A34000"/>
    <w:rsid w:val="00A340DD"/>
    <w:rsid w:val="00A34696"/>
    <w:rsid w:val="00A34D5E"/>
    <w:rsid w:val="00A35287"/>
    <w:rsid w:val="00A353F2"/>
    <w:rsid w:val="00A363DB"/>
    <w:rsid w:val="00A37251"/>
    <w:rsid w:val="00A375C9"/>
    <w:rsid w:val="00A4072D"/>
    <w:rsid w:val="00A40776"/>
    <w:rsid w:val="00A41F95"/>
    <w:rsid w:val="00A42387"/>
    <w:rsid w:val="00A42A0D"/>
    <w:rsid w:val="00A42D27"/>
    <w:rsid w:val="00A43A63"/>
    <w:rsid w:val="00A43C05"/>
    <w:rsid w:val="00A449B2"/>
    <w:rsid w:val="00A45696"/>
    <w:rsid w:val="00A45FF2"/>
    <w:rsid w:val="00A4643C"/>
    <w:rsid w:val="00A46B5A"/>
    <w:rsid w:val="00A4716D"/>
    <w:rsid w:val="00A47924"/>
    <w:rsid w:val="00A506CA"/>
    <w:rsid w:val="00A50A25"/>
    <w:rsid w:val="00A50EE8"/>
    <w:rsid w:val="00A518FD"/>
    <w:rsid w:val="00A51C5F"/>
    <w:rsid w:val="00A52AE7"/>
    <w:rsid w:val="00A52BF0"/>
    <w:rsid w:val="00A53E7E"/>
    <w:rsid w:val="00A53FFA"/>
    <w:rsid w:val="00A5457E"/>
    <w:rsid w:val="00A54EF8"/>
    <w:rsid w:val="00A55D19"/>
    <w:rsid w:val="00A5702B"/>
    <w:rsid w:val="00A609FC"/>
    <w:rsid w:val="00A60DB1"/>
    <w:rsid w:val="00A61D75"/>
    <w:rsid w:val="00A62224"/>
    <w:rsid w:val="00A6352E"/>
    <w:rsid w:val="00A63766"/>
    <w:rsid w:val="00A63FB1"/>
    <w:rsid w:val="00A649F3"/>
    <w:rsid w:val="00A651AA"/>
    <w:rsid w:val="00A655BC"/>
    <w:rsid w:val="00A65F79"/>
    <w:rsid w:val="00A6677B"/>
    <w:rsid w:val="00A70005"/>
    <w:rsid w:val="00A70EED"/>
    <w:rsid w:val="00A725AC"/>
    <w:rsid w:val="00A725B9"/>
    <w:rsid w:val="00A7279C"/>
    <w:rsid w:val="00A735DA"/>
    <w:rsid w:val="00A738C6"/>
    <w:rsid w:val="00A7518F"/>
    <w:rsid w:val="00A76E10"/>
    <w:rsid w:val="00A76EAB"/>
    <w:rsid w:val="00A80782"/>
    <w:rsid w:val="00A83A86"/>
    <w:rsid w:val="00A848CC"/>
    <w:rsid w:val="00A85FED"/>
    <w:rsid w:val="00A872F6"/>
    <w:rsid w:val="00A87729"/>
    <w:rsid w:val="00A9011F"/>
    <w:rsid w:val="00A91742"/>
    <w:rsid w:val="00A91B0B"/>
    <w:rsid w:val="00A92C15"/>
    <w:rsid w:val="00A930B8"/>
    <w:rsid w:val="00A93B38"/>
    <w:rsid w:val="00A93F9F"/>
    <w:rsid w:val="00A94D08"/>
    <w:rsid w:val="00A95327"/>
    <w:rsid w:val="00A953CD"/>
    <w:rsid w:val="00A95F85"/>
    <w:rsid w:val="00A96060"/>
    <w:rsid w:val="00AA1529"/>
    <w:rsid w:val="00AA18C1"/>
    <w:rsid w:val="00AA1A07"/>
    <w:rsid w:val="00AA3306"/>
    <w:rsid w:val="00AA5355"/>
    <w:rsid w:val="00AA55C9"/>
    <w:rsid w:val="00AA7267"/>
    <w:rsid w:val="00AA7AD8"/>
    <w:rsid w:val="00AB0608"/>
    <w:rsid w:val="00AB1242"/>
    <w:rsid w:val="00AB1365"/>
    <w:rsid w:val="00AB14F4"/>
    <w:rsid w:val="00AB1B8A"/>
    <w:rsid w:val="00AB322B"/>
    <w:rsid w:val="00AB3B58"/>
    <w:rsid w:val="00AB4369"/>
    <w:rsid w:val="00AB4E43"/>
    <w:rsid w:val="00AB4F7B"/>
    <w:rsid w:val="00AB60AA"/>
    <w:rsid w:val="00AB672F"/>
    <w:rsid w:val="00AB677D"/>
    <w:rsid w:val="00AB6CB2"/>
    <w:rsid w:val="00AB6CE2"/>
    <w:rsid w:val="00AB77AC"/>
    <w:rsid w:val="00AB792F"/>
    <w:rsid w:val="00AB7A55"/>
    <w:rsid w:val="00AC104E"/>
    <w:rsid w:val="00AC1580"/>
    <w:rsid w:val="00AC1DB4"/>
    <w:rsid w:val="00AC204F"/>
    <w:rsid w:val="00AC2224"/>
    <w:rsid w:val="00AC2E4E"/>
    <w:rsid w:val="00AC45C2"/>
    <w:rsid w:val="00AC4A33"/>
    <w:rsid w:val="00AC4EF0"/>
    <w:rsid w:val="00AC5D7F"/>
    <w:rsid w:val="00AC6BD4"/>
    <w:rsid w:val="00AD0120"/>
    <w:rsid w:val="00AD0234"/>
    <w:rsid w:val="00AD0D96"/>
    <w:rsid w:val="00AD119C"/>
    <w:rsid w:val="00AD16E2"/>
    <w:rsid w:val="00AD2232"/>
    <w:rsid w:val="00AD3B8A"/>
    <w:rsid w:val="00AD4ACD"/>
    <w:rsid w:val="00AD53A5"/>
    <w:rsid w:val="00AD653C"/>
    <w:rsid w:val="00AD75B4"/>
    <w:rsid w:val="00AD7645"/>
    <w:rsid w:val="00AD7AA2"/>
    <w:rsid w:val="00AD7ACF"/>
    <w:rsid w:val="00AD7D2B"/>
    <w:rsid w:val="00AD7EF5"/>
    <w:rsid w:val="00AE1735"/>
    <w:rsid w:val="00AE41BC"/>
    <w:rsid w:val="00AE4739"/>
    <w:rsid w:val="00AE5153"/>
    <w:rsid w:val="00AE6AB9"/>
    <w:rsid w:val="00AE7232"/>
    <w:rsid w:val="00AE773C"/>
    <w:rsid w:val="00AE7B46"/>
    <w:rsid w:val="00AF13AD"/>
    <w:rsid w:val="00AF6F42"/>
    <w:rsid w:val="00AF7243"/>
    <w:rsid w:val="00AF748D"/>
    <w:rsid w:val="00AF7DC6"/>
    <w:rsid w:val="00B01270"/>
    <w:rsid w:val="00B01EF2"/>
    <w:rsid w:val="00B02EE2"/>
    <w:rsid w:val="00B03354"/>
    <w:rsid w:val="00B03CDB"/>
    <w:rsid w:val="00B0454F"/>
    <w:rsid w:val="00B052B4"/>
    <w:rsid w:val="00B05E36"/>
    <w:rsid w:val="00B074F1"/>
    <w:rsid w:val="00B112CB"/>
    <w:rsid w:val="00B139C5"/>
    <w:rsid w:val="00B141C2"/>
    <w:rsid w:val="00B1421A"/>
    <w:rsid w:val="00B1589A"/>
    <w:rsid w:val="00B161A4"/>
    <w:rsid w:val="00B16D2D"/>
    <w:rsid w:val="00B20009"/>
    <w:rsid w:val="00B2131D"/>
    <w:rsid w:val="00B21674"/>
    <w:rsid w:val="00B216C7"/>
    <w:rsid w:val="00B2242A"/>
    <w:rsid w:val="00B235AC"/>
    <w:rsid w:val="00B24B5A"/>
    <w:rsid w:val="00B24FB4"/>
    <w:rsid w:val="00B25292"/>
    <w:rsid w:val="00B25443"/>
    <w:rsid w:val="00B260B9"/>
    <w:rsid w:val="00B262AE"/>
    <w:rsid w:val="00B26304"/>
    <w:rsid w:val="00B2659B"/>
    <w:rsid w:val="00B266A5"/>
    <w:rsid w:val="00B2676D"/>
    <w:rsid w:val="00B2689A"/>
    <w:rsid w:val="00B31133"/>
    <w:rsid w:val="00B31C5E"/>
    <w:rsid w:val="00B321A9"/>
    <w:rsid w:val="00B33881"/>
    <w:rsid w:val="00B35124"/>
    <w:rsid w:val="00B35433"/>
    <w:rsid w:val="00B355B4"/>
    <w:rsid w:val="00B35A20"/>
    <w:rsid w:val="00B36567"/>
    <w:rsid w:val="00B36B4A"/>
    <w:rsid w:val="00B36B69"/>
    <w:rsid w:val="00B36F8A"/>
    <w:rsid w:val="00B37244"/>
    <w:rsid w:val="00B3743D"/>
    <w:rsid w:val="00B37A4E"/>
    <w:rsid w:val="00B4170D"/>
    <w:rsid w:val="00B438BB"/>
    <w:rsid w:val="00B44A0D"/>
    <w:rsid w:val="00B45623"/>
    <w:rsid w:val="00B45A0B"/>
    <w:rsid w:val="00B45E4C"/>
    <w:rsid w:val="00B46410"/>
    <w:rsid w:val="00B464A8"/>
    <w:rsid w:val="00B4680F"/>
    <w:rsid w:val="00B47432"/>
    <w:rsid w:val="00B521E4"/>
    <w:rsid w:val="00B534CE"/>
    <w:rsid w:val="00B56154"/>
    <w:rsid w:val="00B56C72"/>
    <w:rsid w:val="00B576C3"/>
    <w:rsid w:val="00B57C45"/>
    <w:rsid w:val="00B57C88"/>
    <w:rsid w:val="00B60AD5"/>
    <w:rsid w:val="00B61583"/>
    <w:rsid w:val="00B61C1F"/>
    <w:rsid w:val="00B62281"/>
    <w:rsid w:val="00B62E89"/>
    <w:rsid w:val="00B637FC"/>
    <w:rsid w:val="00B6398A"/>
    <w:rsid w:val="00B64373"/>
    <w:rsid w:val="00B64915"/>
    <w:rsid w:val="00B65BE0"/>
    <w:rsid w:val="00B65F11"/>
    <w:rsid w:val="00B6750F"/>
    <w:rsid w:val="00B67D3A"/>
    <w:rsid w:val="00B70DB9"/>
    <w:rsid w:val="00B71486"/>
    <w:rsid w:val="00B72C43"/>
    <w:rsid w:val="00B74A6F"/>
    <w:rsid w:val="00B74B4B"/>
    <w:rsid w:val="00B76EBC"/>
    <w:rsid w:val="00B770DC"/>
    <w:rsid w:val="00B80CBF"/>
    <w:rsid w:val="00B80DE3"/>
    <w:rsid w:val="00B812CB"/>
    <w:rsid w:val="00B82633"/>
    <w:rsid w:val="00B8305D"/>
    <w:rsid w:val="00B836DE"/>
    <w:rsid w:val="00B83FF1"/>
    <w:rsid w:val="00B85FAA"/>
    <w:rsid w:val="00B85FC5"/>
    <w:rsid w:val="00B861F2"/>
    <w:rsid w:val="00B86EC6"/>
    <w:rsid w:val="00B874DF"/>
    <w:rsid w:val="00B904D3"/>
    <w:rsid w:val="00B905D9"/>
    <w:rsid w:val="00B91E2E"/>
    <w:rsid w:val="00B935CC"/>
    <w:rsid w:val="00B94881"/>
    <w:rsid w:val="00B94909"/>
    <w:rsid w:val="00B94B4B"/>
    <w:rsid w:val="00B95AF0"/>
    <w:rsid w:val="00B95CD8"/>
    <w:rsid w:val="00B96F2A"/>
    <w:rsid w:val="00BA0BC5"/>
    <w:rsid w:val="00BA1470"/>
    <w:rsid w:val="00BA1E1E"/>
    <w:rsid w:val="00BA3347"/>
    <w:rsid w:val="00BA3DBC"/>
    <w:rsid w:val="00BA49FD"/>
    <w:rsid w:val="00BA58DB"/>
    <w:rsid w:val="00BA6800"/>
    <w:rsid w:val="00BA76B9"/>
    <w:rsid w:val="00BB004A"/>
    <w:rsid w:val="00BB0224"/>
    <w:rsid w:val="00BB0628"/>
    <w:rsid w:val="00BB06DE"/>
    <w:rsid w:val="00BB085F"/>
    <w:rsid w:val="00BB1962"/>
    <w:rsid w:val="00BB3EEF"/>
    <w:rsid w:val="00BB4459"/>
    <w:rsid w:val="00BB5336"/>
    <w:rsid w:val="00BC0477"/>
    <w:rsid w:val="00BC3399"/>
    <w:rsid w:val="00BC4279"/>
    <w:rsid w:val="00BC46A3"/>
    <w:rsid w:val="00BC47E8"/>
    <w:rsid w:val="00BC5A17"/>
    <w:rsid w:val="00BC5CFA"/>
    <w:rsid w:val="00BC5E39"/>
    <w:rsid w:val="00BD0AB3"/>
    <w:rsid w:val="00BD1C17"/>
    <w:rsid w:val="00BD4FD9"/>
    <w:rsid w:val="00BD5566"/>
    <w:rsid w:val="00BD5646"/>
    <w:rsid w:val="00BD5DAE"/>
    <w:rsid w:val="00BD7031"/>
    <w:rsid w:val="00BE04D9"/>
    <w:rsid w:val="00BE1462"/>
    <w:rsid w:val="00BE2413"/>
    <w:rsid w:val="00BE296E"/>
    <w:rsid w:val="00BE3275"/>
    <w:rsid w:val="00BE3882"/>
    <w:rsid w:val="00BE3BBE"/>
    <w:rsid w:val="00BE4095"/>
    <w:rsid w:val="00BE516C"/>
    <w:rsid w:val="00BE6879"/>
    <w:rsid w:val="00BE6CCA"/>
    <w:rsid w:val="00BE7DB3"/>
    <w:rsid w:val="00BE7DFF"/>
    <w:rsid w:val="00BF04D1"/>
    <w:rsid w:val="00BF0B25"/>
    <w:rsid w:val="00BF15AC"/>
    <w:rsid w:val="00BF1AB0"/>
    <w:rsid w:val="00BF22F5"/>
    <w:rsid w:val="00BF2644"/>
    <w:rsid w:val="00BF2AED"/>
    <w:rsid w:val="00BF5855"/>
    <w:rsid w:val="00BF730D"/>
    <w:rsid w:val="00C0123F"/>
    <w:rsid w:val="00C01C2E"/>
    <w:rsid w:val="00C01D54"/>
    <w:rsid w:val="00C02323"/>
    <w:rsid w:val="00C027A0"/>
    <w:rsid w:val="00C02CA2"/>
    <w:rsid w:val="00C032BD"/>
    <w:rsid w:val="00C03EF7"/>
    <w:rsid w:val="00C04C7C"/>
    <w:rsid w:val="00C05386"/>
    <w:rsid w:val="00C05FA6"/>
    <w:rsid w:val="00C06BED"/>
    <w:rsid w:val="00C10806"/>
    <w:rsid w:val="00C1360F"/>
    <w:rsid w:val="00C1375F"/>
    <w:rsid w:val="00C14CF9"/>
    <w:rsid w:val="00C1533E"/>
    <w:rsid w:val="00C15476"/>
    <w:rsid w:val="00C1673F"/>
    <w:rsid w:val="00C16D61"/>
    <w:rsid w:val="00C17128"/>
    <w:rsid w:val="00C1737B"/>
    <w:rsid w:val="00C179D9"/>
    <w:rsid w:val="00C17EEC"/>
    <w:rsid w:val="00C20F5E"/>
    <w:rsid w:val="00C21217"/>
    <w:rsid w:val="00C21327"/>
    <w:rsid w:val="00C2143D"/>
    <w:rsid w:val="00C21F2D"/>
    <w:rsid w:val="00C23EAD"/>
    <w:rsid w:val="00C23F6D"/>
    <w:rsid w:val="00C24F38"/>
    <w:rsid w:val="00C255E8"/>
    <w:rsid w:val="00C2635A"/>
    <w:rsid w:val="00C33B0B"/>
    <w:rsid w:val="00C35C8E"/>
    <w:rsid w:val="00C4027C"/>
    <w:rsid w:val="00C403E0"/>
    <w:rsid w:val="00C40B6A"/>
    <w:rsid w:val="00C42710"/>
    <w:rsid w:val="00C42CED"/>
    <w:rsid w:val="00C42F30"/>
    <w:rsid w:val="00C43A59"/>
    <w:rsid w:val="00C46573"/>
    <w:rsid w:val="00C471DB"/>
    <w:rsid w:val="00C5035A"/>
    <w:rsid w:val="00C50F57"/>
    <w:rsid w:val="00C514F7"/>
    <w:rsid w:val="00C529A5"/>
    <w:rsid w:val="00C55F47"/>
    <w:rsid w:val="00C567C0"/>
    <w:rsid w:val="00C56DFF"/>
    <w:rsid w:val="00C5710E"/>
    <w:rsid w:val="00C5745C"/>
    <w:rsid w:val="00C574B6"/>
    <w:rsid w:val="00C57F34"/>
    <w:rsid w:val="00C611FB"/>
    <w:rsid w:val="00C612CF"/>
    <w:rsid w:val="00C61E16"/>
    <w:rsid w:val="00C62BF3"/>
    <w:rsid w:val="00C62C2F"/>
    <w:rsid w:val="00C63E9B"/>
    <w:rsid w:val="00C649F8"/>
    <w:rsid w:val="00C6563C"/>
    <w:rsid w:val="00C658DA"/>
    <w:rsid w:val="00C6591A"/>
    <w:rsid w:val="00C6596A"/>
    <w:rsid w:val="00C65BB5"/>
    <w:rsid w:val="00C66390"/>
    <w:rsid w:val="00C66C31"/>
    <w:rsid w:val="00C679DB"/>
    <w:rsid w:val="00C7013C"/>
    <w:rsid w:val="00C708BD"/>
    <w:rsid w:val="00C72691"/>
    <w:rsid w:val="00C731CC"/>
    <w:rsid w:val="00C7323A"/>
    <w:rsid w:val="00C73792"/>
    <w:rsid w:val="00C73A08"/>
    <w:rsid w:val="00C73A34"/>
    <w:rsid w:val="00C73E16"/>
    <w:rsid w:val="00C741E7"/>
    <w:rsid w:val="00C74FFC"/>
    <w:rsid w:val="00C750B4"/>
    <w:rsid w:val="00C7682A"/>
    <w:rsid w:val="00C769DD"/>
    <w:rsid w:val="00C76AEB"/>
    <w:rsid w:val="00C7704A"/>
    <w:rsid w:val="00C77A9F"/>
    <w:rsid w:val="00C8052B"/>
    <w:rsid w:val="00C805D4"/>
    <w:rsid w:val="00C80E4F"/>
    <w:rsid w:val="00C81154"/>
    <w:rsid w:val="00C8183C"/>
    <w:rsid w:val="00C84505"/>
    <w:rsid w:val="00C84CBE"/>
    <w:rsid w:val="00C8651B"/>
    <w:rsid w:val="00C8724D"/>
    <w:rsid w:val="00C87488"/>
    <w:rsid w:val="00C8770C"/>
    <w:rsid w:val="00C91214"/>
    <w:rsid w:val="00C928E9"/>
    <w:rsid w:val="00C92D21"/>
    <w:rsid w:val="00C93021"/>
    <w:rsid w:val="00C949A0"/>
    <w:rsid w:val="00C96238"/>
    <w:rsid w:val="00C96CE0"/>
    <w:rsid w:val="00CA0353"/>
    <w:rsid w:val="00CA0605"/>
    <w:rsid w:val="00CA24FA"/>
    <w:rsid w:val="00CA3471"/>
    <w:rsid w:val="00CA39CB"/>
    <w:rsid w:val="00CA4400"/>
    <w:rsid w:val="00CA4A05"/>
    <w:rsid w:val="00CA4F54"/>
    <w:rsid w:val="00CA5C92"/>
    <w:rsid w:val="00CA603B"/>
    <w:rsid w:val="00CA6071"/>
    <w:rsid w:val="00CA6A18"/>
    <w:rsid w:val="00CA7955"/>
    <w:rsid w:val="00CA7D4A"/>
    <w:rsid w:val="00CB0FA3"/>
    <w:rsid w:val="00CB25D1"/>
    <w:rsid w:val="00CB2E79"/>
    <w:rsid w:val="00CB4047"/>
    <w:rsid w:val="00CB412D"/>
    <w:rsid w:val="00CB6E30"/>
    <w:rsid w:val="00CB7C49"/>
    <w:rsid w:val="00CC123E"/>
    <w:rsid w:val="00CC1757"/>
    <w:rsid w:val="00CC250B"/>
    <w:rsid w:val="00CC2DB3"/>
    <w:rsid w:val="00CC2DE1"/>
    <w:rsid w:val="00CC2FE0"/>
    <w:rsid w:val="00CC3838"/>
    <w:rsid w:val="00CC3AA7"/>
    <w:rsid w:val="00CC428A"/>
    <w:rsid w:val="00CC4DAD"/>
    <w:rsid w:val="00CC52F0"/>
    <w:rsid w:val="00CC6256"/>
    <w:rsid w:val="00CC6B17"/>
    <w:rsid w:val="00CC7E81"/>
    <w:rsid w:val="00CD0440"/>
    <w:rsid w:val="00CD145A"/>
    <w:rsid w:val="00CD220C"/>
    <w:rsid w:val="00CD3415"/>
    <w:rsid w:val="00CD3FFA"/>
    <w:rsid w:val="00CD4228"/>
    <w:rsid w:val="00CD4CAF"/>
    <w:rsid w:val="00CD57F1"/>
    <w:rsid w:val="00CD5DBA"/>
    <w:rsid w:val="00CD682B"/>
    <w:rsid w:val="00CE059A"/>
    <w:rsid w:val="00CE0A66"/>
    <w:rsid w:val="00CE181A"/>
    <w:rsid w:val="00CE2936"/>
    <w:rsid w:val="00CE35D6"/>
    <w:rsid w:val="00CE3E70"/>
    <w:rsid w:val="00CE4E49"/>
    <w:rsid w:val="00CE5015"/>
    <w:rsid w:val="00CE588B"/>
    <w:rsid w:val="00CE6337"/>
    <w:rsid w:val="00CE78F5"/>
    <w:rsid w:val="00CE7B8F"/>
    <w:rsid w:val="00CE7F6C"/>
    <w:rsid w:val="00CE7FCB"/>
    <w:rsid w:val="00CF07E9"/>
    <w:rsid w:val="00CF1388"/>
    <w:rsid w:val="00CF18A8"/>
    <w:rsid w:val="00CF27B5"/>
    <w:rsid w:val="00CF32F1"/>
    <w:rsid w:val="00CF57DA"/>
    <w:rsid w:val="00CF5F4E"/>
    <w:rsid w:val="00CF6E6A"/>
    <w:rsid w:val="00CF6EC8"/>
    <w:rsid w:val="00CF7451"/>
    <w:rsid w:val="00CF7661"/>
    <w:rsid w:val="00CF7C47"/>
    <w:rsid w:val="00CF7EFB"/>
    <w:rsid w:val="00D0042B"/>
    <w:rsid w:val="00D0104A"/>
    <w:rsid w:val="00D01FE1"/>
    <w:rsid w:val="00D02CCF"/>
    <w:rsid w:val="00D02EC4"/>
    <w:rsid w:val="00D03C39"/>
    <w:rsid w:val="00D04C9C"/>
    <w:rsid w:val="00D05594"/>
    <w:rsid w:val="00D06BCB"/>
    <w:rsid w:val="00D115B3"/>
    <w:rsid w:val="00D11715"/>
    <w:rsid w:val="00D13F87"/>
    <w:rsid w:val="00D146F8"/>
    <w:rsid w:val="00D14BF8"/>
    <w:rsid w:val="00D14F43"/>
    <w:rsid w:val="00D16C09"/>
    <w:rsid w:val="00D16D9B"/>
    <w:rsid w:val="00D16F81"/>
    <w:rsid w:val="00D20581"/>
    <w:rsid w:val="00D22BC2"/>
    <w:rsid w:val="00D25333"/>
    <w:rsid w:val="00D261DF"/>
    <w:rsid w:val="00D3329B"/>
    <w:rsid w:val="00D3329F"/>
    <w:rsid w:val="00D33B44"/>
    <w:rsid w:val="00D33F5B"/>
    <w:rsid w:val="00D33FCF"/>
    <w:rsid w:val="00D35A8E"/>
    <w:rsid w:val="00D36072"/>
    <w:rsid w:val="00D3700B"/>
    <w:rsid w:val="00D37089"/>
    <w:rsid w:val="00D375F8"/>
    <w:rsid w:val="00D3791F"/>
    <w:rsid w:val="00D40B3C"/>
    <w:rsid w:val="00D41159"/>
    <w:rsid w:val="00D414FE"/>
    <w:rsid w:val="00D41B42"/>
    <w:rsid w:val="00D42DDD"/>
    <w:rsid w:val="00D42F33"/>
    <w:rsid w:val="00D43846"/>
    <w:rsid w:val="00D4519F"/>
    <w:rsid w:val="00D453E0"/>
    <w:rsid w:val="00D455A5"/>
    <w:rsid w:val="00D45AAD"/>
    <w:rsid w:val="00D45B2B"/>
    <w:rsid w:val="00D46D28"/>
    <w:rsid w:val="00D46D74"/>
    <w:rsid w:val="00D46E4F"/>
    <w:rsid w:val="00D47983"/>
    <w:rsid w:val="00D500C4"/>
    <w:rsid w:val="00D52288"/>
    <w:rsid w:val="00D522A6"/>
    <w:rsid w:val="00D5250A"/>
    <w:rsid w:val="00D526AB"/>
    <w:rsid w:val="00D529F4"/>
    <w:rsid w:val="00D52CDF"/>
    <w:rsid w:val="00D540DB"/>
    <w:rsid w:val="00D543AD"/>
    <w:rsid w:val="00D544FB"/>
    <w:rsid w:val="00D551C4"/>
    <w:rsid w:val="00D557C4"/>
    <w:rsid w:val="00D565E9"/>
    <w:rsid w:val="00D572B6"/>
    <w:rsid w:val="00D60498"/>
    <w:rsid w:val="00D61737"/>
    <w:rsid w:val="00D62F00"/>
    <w:rsid w:val="00D641FE"/>
    <w:rsid w:val="00D64376"/>
    <w:rsid w:val="00D64B76"/>
    <w:rsid w:val="00D65A9C"/>
    <w:rsid w:val="00D6774E"/>
    <w:rsid w:val="00D67B9F"/>
    <w:rsid w:val="00D706A8"/>
    <w:rsid w:val="00D71215"/>
    <w:rsid w:val="00D71272"/>
    <w:rsid w:val="00D722AA"/>
    <w:rsid w:val="00D72D01"/>
    <w:rsid w:val="00D743CF"/>
    <w:rsid w:val="00D74E7B"/>
    <w:rsid w:val="00D7666E"/>
    <w:rsid w:val="00D77179"/>
    <w:rsid w:val="00D803EE"/>
    <w:rsid w:val="00D80D2B"/>
    <w:rsid w:val="00D81386"/>
    <w:rsid w:val="00D81BAF"/>
    <w:rsid w:val="00D84926"/>
    <w:rsid w:val="00D84C30"/>
    <w:rsid w:val="00D84EE3"/>
    <w:rsid w:val="00D8678D"/>
    <w:rsid w:val="00D87AE4"/>
    <w:rsid w:val="00D90D3B"/>
    <w:rsid w:val="00D90E94"/>
    <w:rsid w:val="00D917F3"/>
    <w:rsid w:val="00D91A61"/>
    <w:rsid w:val="00D92099"/>
    <w:rsid w:val="00D9274F"/>
    <w:rsid w:val="00D92808"/>
    <w:rsid w:val="00D929E9"/>
    <w:rsid w:val="00D94349"/>
    <w:rsid w:val="00D945B4"/>
    <w:rsid w:val="00D957D4"/>
    <w:rsid w:val="00D96EA3"/>
    <w:rsid w:val="00D972B3"/>
    <w:rsid w:val="00D97E34"/>
    <w:rsid w:val="00DA0089"/>
    <w:rsid w:val="00DA062B"/>
    <w:rsid w:val="00DA0B26"/>
    <w:rsid w:val="00DA1BC6"/>
    <w:rsid w:val="00DA49E1"/>
    <w:rsid w:val="00DA5D61"/>
    <w:rsid w:val="00DA7F06"/>
    <w:rsid w:val="00DB09CE"/>
    <w:rsid w:val="00DB1EA8"/>
    <w:rsid w:val="00DB2F5E"/>
    <w:rsid w:val="00DB410D"/>
    <w:rsid w:val="00DB5B3C"/>
    <w:rsid w:val="00DB664B"/>
    <w:rsid w:val="00DB7445"/>
    <w:rsid w:val="00DB75B9"/>
    <w:rsid w:val="00DC0666"/>
    <w:rsid w:val="00DC117E"/>
    <w:rsid w:val="00DC2071"/>
    <w:rsid w:val="00DC284A"/>
    <w:rsid w:val="00DC2DF2"/>
    <w:rsid w:val="00DC4173"/>
    <w:rsid w:val="00DC43A7"/>
    <w:rsid w:val="00DC612A"/>
    <w:rsid w:val="00DC6545"/>
    <w:rsid w:val="00DC6581"/>
    <w:rsid w:val="00DC6709"/>
    <w:rsid w:val="00DC7521"/>
    <w:rsid w:val="00DD089A"/>
    <w:rsid w:val="00DD1100"/>
    <w:rsid w:val="00DD1F30"/>
    <w:rsid w:val="00DD1FA2"/>
    <w:rsid w:val="00DD3079"/>
    <w:rsid w:val="00DD38F5"/>
    <w:rsid w:val="00DD3EA1"/>
    <w:rsid w:val="00DD4448"/>
    <w:rsid w:val="00DD57AC"/>
    <w:rsid w:val="00DD6137"/>
    <w:rsid w:val="00DD63BB"/>
    <w:rsid w:val="00DD646A"/>
    <w:rsid w:val="00DD68C2"/>
    <w:rsid w:val="00DD7B1F"/>
    <w:rsid w:val="00DE07B3"/>
    <w:rsid w:val="00DE0CFC"/>
    <w:rsid w:val="00DE1CC6"/>
    <w:rsid w:val="00DE1D5E"/>
    <w:rsid w:val="00DE1DD2"/>
    <w:rsid w:val="00DE21FF"/>
    <w:rsid w:val="00DE2AE3"/>
    <w:rsid w:val="00DE422C"/>
    <w:rsid w:val="00DE5B35"/>
    <w:rsid w:val="00DE5B51"/>
    <w:rsid w:val="00DE5FD1"/>
    <w:rsid w:val="00DE6396"/>
    <w:rsid w:val="00DE6C4B"/>
    <w:rsid w:val="00DF105E"/>
    <w:rsid w:val="00DF12DE"/>
    <w:rsid w:val="00DF12F9"/>
    <w:rsid w:val="00DF2E8B"/>
    <w:rsid w:val="00DF39B0"/>
    <w:rsid w:val="00E014FC"/>
    <w:rsid w:val="00E02990"/>
    <w:rsid w:val="00E02F38"/>
    <w:rsid w:val="00E02F73"/>
    <w:rsid w:val="00E03821"/>
    <w:rsid w:val="00E044BC"/>
    <w:rsid w:val="00E04824"/>
    <w:rsid w:val="00E04C7D"/>
    <w:rsid w:val="00E05BF1"/>
    <w:rsid w:val="00E0673A"/>
    <w:rsid w:val="00E06F08"/>
    <w:rsid w:val="00E07C6F"/>
    <w:rsid w:val="00E1271F"/>
    <w:rsid w:val="00E13EDD"/>
    <w:rsid w:val="00E140FC"/>
    <w:rsid w:val="00E142B5"/>
    <w:rsid w:val="00E14C85"/>
    <w:rsid w:val="00E15396"/>
    <w:rsid w:val="00E157FD"/>
    <w:rsid w:val="00E15AE6"/>
    <w:rsid w:val="00E16895"/>
    <w:rsid w:val="00E1746D"/>
    <w:rsid w:val="00E204A0"/>
    <w:rsid w:val="00E20B30"/>
    <w:rsid w:val="00E20C92"/>
    <w:rsid w:val="00E21F8F"/>
    <w:rsid w:val="00E22BC4"/>
    <w:rsid w:val="00E23134"/>
    <w:rsid w:val="00E24051"/>
    <w:rsid w:val="00E24B17"/>
    <w:rsid w:val="00E25AB6"/>
    <w:rsid w:val="00E25C12"/>
    <w:rsid w:val="00E304F4"/>
    <w:rsid w:val="00E30985"/>
    <w:rsid w:val="00E30B53"/>
    <w:rsid w:val="00E30E85"/>
    <w:rsid w:val="00E31AE8"/>
    <w:rsid w:val="00E3211A"/>
    <w:rsid w:val="00E3287D"/>
    <w:rsid w:val="00E32D23"/>
    <w:rsid w:val="00E339D7"/>
    <w:rsid w:val="00E33B56"/>
    <w:rsid w:val="00E359FD"/>
    <w:rsid w:val="00E35A52"/>
    <w:rsid w:val="00E37CFD"/>
    <w:rsid w:val="00E37E89"/>
    <w:rsid w:val="00E408E6"/>
    <w:rsid w:val="00E41116"/>
    <w:rsid w:val="00E41A54"/>
    <w:rsid w:val="00E41B75"/>
    <w:rsid w:val="00E4367E"/>
    <w:rsid w:val="00E44FDF"/>
    <w:rsid w:val="00E45C11"/>
    <w:rsid w:val="00E4642B"/>
    <w:rsid w:val="00E46796"/>
    <w:rsid w:val="00E476A2"/>
    <w:rsid w:val="00E476FB"/>
    <w:rsid w:val="00E477E4"/>
    <w:rsid w:val="00E47F65"/>
    <w:rsid w:val="00E5103A"/>
    <w:rsid w:val="00E5180D"/>
    <w:rsid w:val="00E518B1"/>
    <w:rsid w:val="00E5224E"/>
    <w:rsid w:val="00E54677"/>
    <w:rsid w:val="00E54D26"/>
    <w:rsid w:val="00E55D73"/>
    <w:rsid w:val="00E574C9"/>
    <w:rsid w:val="00E6019C"/>
    <w:rsid w:val="00E60291"/>
    <w:rsid w:val="00E60A11"/>
    <w:rsid w:val="00E61140"/>
    <w:rsid w:val="00E62C66"/>
    <w:rsid w:val="00E62E83"/>
    <w:rsid w:val="00E62ECF"/>
    <w:rsid w:val="00E63193"/>
    <w:rsid w:val="00E63AE0"/>
    <w:rsid w:val="00E64097"/>
    <w:rsid w:val="00E661B3"/>
    <w:rsid w:val="00E66205"/>
    <w:rsid w:val="00E66D16"/>
    <w:rsid w:val="00E722C3"/>
    <w:rsid w:val="00E724F1"/>
    <w:rsid w:val="00E72F57"/>
    <w:rsid w:val="00E73E46"/>
    <w:rsid w:val="00E73F02"/>
    <w:rsid w:val="00E748BB"/>
    <w:rsid w:val="00E74F50"/>
    <w:rsid w:val="00E75A2D"/>
    <w:rsid w:val="00E77A2C"/>
    <w:rsid w:val="00E8073B"/>
    <w:rsid w:val="00E80A2E"/>
    <w:rsid w:val="00E80D56"/>
    <w:rsid w:val="00E84CFC"/>
    <w:rsid w:val="00E8626B"/>
    <w:rsid w:val="00E86A86"/>
    <w:rsid w:val="00E86CBB"/>
    <w:rsid w:val="00E86F42"/>
    <w:rsid w:val="00E87B9C"/>
    <w:rsid w:val="00E90FA7"/>
    <w:rsid w:val="00E923F3"/>
    <w:rsid w:val="00E927F4"/>
    <w:rsid w:val="00E93726"/>
    <w:rsid w:val="00E94232"/>
    <w:rsid w:val="00E952E9"/>
    <w:rsid w:val="00E95370"/>
    <w:rsid w:val="00E959C8"/>
    <w:rsid w:val="00E959D3"/>
    <w:rsid w:val="00E95E24"/>
    <w:rsid w:val="00E964CF"/>
    <w:rsid w:val="00E97923"/>
    <w:rsid w:val="00E97EA8"/>
    <w:rsid w:val="00E97F3C"/>
    <w:rsid w:val="00EA14CF"/>
    <w:rsid w:val="00EA2046"/>
    <w:rsid w:val="00EA2234"/>
    <w:rsid w:val="00EA42B0"/>
    <w:rsid w:val="00EA5172"/>
    <w:rsid w:val="00EA5552"/>
    <w:rsid w:val="00EA5BD5"/>
    <w:rsid w:val="00EA6638"/>
    <w:rsid w:val="00EA6F0A"/>
    <w:rsid w:val="00EB00C5"/>
    <w:rsid w:val="00EB1856"/>
    <w:rsid w:val="00EB4AA6"/>
    <w:rsid w:val="00EB57C1"/>
    <w:rsid w:val="00EB5CCC"/>
    <w:rsid w:val="00EB63DA"/>
    <w:rsid w:val="00EB78DE"/>
    <w:rsid w:val="00EB7BFE"/>
    <w:rsid w:val="00EC0D22"/>
    <w:rsid w:val="00EC12C9"/>
    <w:rsid w:val="00EC28F7"/>
    <w:rsid w:val="00EC3F64"/>
    <w:rsid w:val="00EC5FB1"/>
    <w:rsid w:val="00EC763C"/>
    <w:rsid w:val="00EC765A"/>
    <w:rsid w:val="00EC7915"/>
    <w:rsid w:val="00ED045F"/>
    <w:rsid w:val="00ED0494"/>
    <w:rsid w:val="00ED19B0"/>
    <w:rsid w:val="00ED2950"/>
    <w:rsid w:val="00ED2F2F"/>
    <w:rsid w:val="00ED4714"/>
    <w:rsid w:val="00ED55C3"/>
    <w:rsid w:val="00ED62FD"/>
    <w:rsid w:val="00ED6D0F"/>
    <w:rsid w:val="00ED6F9C"/>
    <w:rsid w:val="00ED7195"/>
    <w:rsid w:val="00EE3390"/>
    <w:rsid w:val="00EE401A"/>
    <w:rsid w:val="00EE49C7"/>
    <w:rsid w:val="00EE5AAD"/>
    <w:rsid w:val="00EE6EB9"/>
    <w:rsid w:val="00EE7B53"/>
    <w:rsid w:val="00EF0219"/>
    <w:rsid w:val="00EF216B"/>
    <w:rsid w:val="00EF27B1"/>
    <w:rsid w:val="00EF3EC1"/>
    <w:rsid w:val="00EF497F"/>
    <w:rsid w:val="00EF6ACF"/>
    <w:rsid w:val="00EF7B82"/>
    <w:rsid w:val="00F0012E"/>
    <w:rsid w:val="00F001D6"/>
    <w:rsid w:val="00F0097A"/>
    <w:rsid w:val="00F00EF0"/>
    <w:rsid w:val="00F05F08"/>
    <w:rsid w:val="00F064E9"/>
    <w:rsid w:val="00F06541"/>
    <w:rsid w:val="00F0754B"/>
    <w:rsid w:val="00F07A13"/>
    <w:rsid w:val="00F07FE8"/>
    <w:rsid w:val="00F10013"/>
    <w:rsid w:val="00F1140F"/>
    <w:rsid w:val="00F127F6"/>
    <w:rsid w:val="00F128B7"/>
    <w:rsid w:val="00F1669C"/>
    <w:rsid w:val="00F17858"/>
    <w:rsid w:val="00F17F55"/>
    <w:rsid w:val="00F201B8"/>
    <w:rsid w:val="00F22056"/>
    <w:rsid w:val="00F22C55"/>
    <w:rsid w:val="00F22CF2"/>
    <w:rsid w:val="00F2339F"/>
    <w:rsid w:val="00F26C0F"/>
    <w:rsid w:val="00F2708C"/>
    <w:rsid w:val="00F27953"/>
    <w:rsid w:val="00F279E4"/>
    <w:rsid w:val="00F3035C"/>
    <w:rsid w:val="00F30718"/>
    <w:rsid w:val="00F314B2"/>
    <w:rsid w:val="00F3210A"/>
    <w:rsid w:val="00F33494"/>
    <w:rsid w:val="00F354A5"/>
    <w:rsid w:val="00F3552E"/>
    <w:rsid w:val="00F35A7F"/>
    <w:rsid w:val="00F364D9"/>
    <w:rsid w:val="00F36853"/>
    <w:rsid w:val="00F37471"/>
    <w:rsid w:val="00F37AD2"/>
    <w:rsid w:val="00F406D1"/>
    <w:rsid w:val="00F411CD"/>
    <w:rsid w:val="00F41FD7"/>
    <w:rsid w:val="00F4249D"/>
    <w:rsid w:val="00F426E2"/>
    <w:rsid w:val="00F44B13"/>
    <w:rsid w:val="00F468F8"/>
    <w:rsid w:val="00F4704F"/>
    <w:rsid w:val="00F47113"/>
    <w:rsid w:val="00F5079F"/>
    <w:rsid w:val="00F523D7"/>
    <w:rsid w:val="00F52B63"/>
    <w:rsid w:val="00F53CFF"/>
    <w:rsid w:val="00F54A48"/>
    <w:rsid w:val="00F55F9C"/>
    <w:rsid w:val="00F5705E"/>
    <w:rsid w:val="00F572FD"/>
    <w:rsid w:val="00F57DE5"/>
    <w:rsid w:val="00F60913"/>
    <w:rsid w:val="00F6221D"/>
    <w:rsid w:val="00F62509"/>
    <w:rsid w:val="00F6399B"/>
    <w:rsid w:val="00F63BEC"/>
    <w:rsid w:val="00F64004"/>
    <w:rsid w:val="00F64365"/>
    <w:rsid w:val="00F643C5"/>
    <w:rsid w:val="00F658F4"/>
    <w:rsid w:val="00F65B9E"/>
    <w:rsid w:val="00F6615C"/>
    <w:rsid w:val="00F6725E"/>
    <w:rsid w:val="00F67CD3"/>
    <w:rsid w:val="00F67FD1"/>
    <w:rsid w:val="00F71335"/>
    <w:rsid w:val="00F737DB"/>
    <w:rsid w:val="00F748C4"/>
    <w:rsid w:val="00F75667"/>
    <w:rsid w:val="00F778EE"/>
    <w:rsid w:val="00F77D73"/>
    <w:rsid w:val="00F80CB3"/>
    <w:rsid w:val="00F81262"/>
    <w:rsid w:val="00F82A90"/>
    <w:rsid w:val="00F83F65"/>
    <w:rsid w:val="00F86A9B"/>
    <w:rsid w:val="00F86F39"/>
    <w:rsid w:val="00F900C0"/>
    <w:rsid w:val="00F90452"/>
    <w:rsid w:val="00F92038"/>
    <w:rsid w:val="00F93009"/>
    <w:rsid w:val="00F9386D"/>
    <w:rsid w:val="00F943F3"/>
    <w:rsid w:val="00F94DFF"/>
    <w:rsid w:val="00F951E5"/>
    <w:rsid w:val="00F96785"/>
    <w:rsid w:val="00F976CF"/>
    <w:rsid w:val="00F978E0"/>
    <w:rsid w:val="00FA007D"/>
    <w:rsid w:val="00FA0BF5"/>
    <w:rsid w:val="00FA0FD3"/>
    <w:rsid w:val="00FA29FA"/>
    <w:rsid w:val="00FA3EC5"/>
    <w:rsid w:val="00FA4FCB"/>
    <w:rsid w:val="00FA5268"/>
    <w:rsid w:val="00FA721D"/>
    <w:rsid w:val="00FA74B9"/>
    <w:rsid w:val="00FA7A99"/>
    <w:rsid w:val="00FB2457"/>
    <w:rsid w:val="00FB3BEE"/>
    <w:rsid w:val="00FB64AC"/>
    <w:rsid w:val="00FB6727"/>
    <w:rsid w:val="00FB69A2"/>
    <w:rsid w:val="00FB7422"/>
    <w:rsid w:val="00FB7B51"/>
    <w:rsid w:val="00FC1369"/>
    <w:rsid w:val="00FC1B6B"/>
    <w:rsid w:val="00FC268E"/>
    <w:rsid w:val="00FC2B51"/>
    <w:rsid w:val="00FC2CDC"/>
    <w:rsid w:val="00FC424B"/>
    <w:rsid w:val="00FC532E"/>
    <w:rsid w:val="00FC589F"/>
    <w:rsid w:val="00FC76C4"/>
    <w:rsid w:val="00FC7781"/>
    <w:rsid w:val="00FD0450"/>
    <w:rsid w:val="00FD38AE"/>
    <w:rsid w:val="00FD3C12"/>
    <w:rsid w:val="00FD3D4F"/>
    <w:rsid w:val="00FD41BC"/>
    <w:rsid w:val="00FD5B95"/>
    <w:rsid w:val="00FD7386"/>
    <w:rsid w:val="00FE0B3D"/>
    <w:rsid w:val="00FE1998"/>
    <w:rsid w:val="00FE1A6C"/>
    <w:rsid w:val="00FE277B"/>
    <w:rsid w:val="00FE44D5"/>
    <w:rsid w:val="00FE4A03"/>
    <w:rsid w:val="00FE619D"/>
    <w:rsid w:val="00FE6330"/>
    <w:rsid w:val="00FE7914"/>
    <w:rsid w:val="00FE7A1C"/>
    <w:rsid w:val="00FF0F41"/>
    <w:rsid w:val="00FF1FE6"/>
    <w:rsid w:val="00FF2087"/>
    <w:rsid w:val="00FF4AA5"/>
    <w:rsid w:val="00FF4AE8"/>
    <w:rsid w:val="00FF4F41"/>
    <w:rsid w:val="00FF5199"/>
    <w:rsid w:val="00FF6538"/>
    <w:rsid w:val="00FF6C1C"/>
    <w:rsid w:val="00FF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50b3cf,#005a84,white,#fd0,#e201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table of figures" w:uiPriority="99" w:qFormat="1"/>
    <w:lsdException w:name="annotation reference" w:uiPriority="99"/>
    <w:lsdException w:name="List Bullet" w:qFormat="1"/>
    <w:lsdException w:name="List Bullet 2" w:qFormat="1"/>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27F4"/>
    <w:pPr>
      <w:spacing w:before="60" w:after="240"/>
    </w:pPr>
    <w:rPr>
      <w:rFonts w:ascii="Arial" w:hAnsi="Arial"/>
      <w:lang w:eastAsia="en-US"/>
    </w:rPr>
  </w:style>
  <w:style w:type="paragraph" w:styleId="Heading1">
    <w:name w:val="heading 1"/>
    <w:basedOn w:val="Normal"/>
    <w:next w:val="Normal"/>
    <w:link w:val="Heading1Char"/>
    <w:uiPriority w:val="9"/>
    <w:qFormat/>
    <w:rsid w:val="00095E2D"/>
    <w:pPr>
      <w:keepNext/>
      <w:pageBreakBefore/>
      <w:numPr>
        <w:numId w:val="9"/>
      </w:numPr>
      <w:spacing w:before="120"/>
      <w:contextualSpacing/>
      <w:outlineLvl w:val="0"/>
    </w:pPr>
    <w:rPr>
      <w:rFonts w:cs="Arial"/>
      <w:bCs/>
      <w:color w:val="00314D"/>
      <w:sz w:val="36"/>
      <w:szCs w:val="32"/>
    </w:rPr>
  </w:style>
  <w:style w:type="paragraph" w:styleId="Heading2">
    <w:name w:val="heading 2"/>
    <w:aliases w:val="1.1,2,h2,Question,h2 + 12 pt,Bold,Before:  24 pt,After:  3 pt"/>
    <w:basedOn w:val="Normal"/>
    <w:next w:val="Normal"/>
    <w:link w:val="Heading2Char"/>
    <w:uiPriority w:val="9"/>
    <w:qFormat/>
    <w:rsid w:val="00095E2D"/>
    <w:pPr>
      <w:keepNext/>
      <w:numPr>
        <w:ilvl w:val="1"/>
        <w:numId w:val="9"/>
      </w:numPr>
      <w:spacing w:before="400" w:after="120"/>
      <w:outlineLvl w:val="1"/>
    </w:pPr>
    <w:rPr>
      <w:rFonts w:cs="Arial"/>
      <w:b/>
      <w:bCs/>
      <w:iCs/>
      <w:color w:val="00314D"/>
      <w:sz w:val="28"/>
      <w:szCs w:val="28"/>
    </w:rPr>
  </w:style>
  <w:style w:type="paragraph" w:styleId="Heading3">
    <w:name w:val="heading 3"/>
    <w:aliases w:val="1.1.1,3,h3,Section,Sub-heading,H3,Heading 31,Sub-heading1,3 bullet,b,No number"/>
    <w:basedOn w:val="Normal"/>
    <w:next w:val="Normal"/>
    <w:link w:val="Heading3Char"/>
    <w:uiPriority w:val="9"/>
    <w:qFormat/>
    <w:rsid w:val="00EC7915"/>
    <w:pPr>
      <w:keepNext/>
      <w:numPr>
        <w:ilvl w:val="2"/>
        <w:numId w:val="9"/>
      </w:numPr>
      <w:spacing w:before="300" w:after="120"/>
      <w:outlineLvl w:val="2"/>
    </w:pPr>
    <w:rPr>
      <w:rFonts w:cs="Arial"/>
      <w:b/>
      <w:bCs/>
      <w:color w:val="595959" w:themeColor="text1" w:themeTint="A6"/>
      <w:sz w:val="24"/>
      <w:szCs w:val="24"/>
    </w:rPr>
  </w:style>
  <w:style w:type="paragraph" w:styleId="Heading4">
    <w:name w:val="heading 4"/>
    <w:aliases w:val="Level 2 - a"/>
    <w:basedOn w:val="Normal"/>
    <w:next w:val="Normal"/>
    <w:link w:val="Heading4Char"/>
    <w:uiPriority w:val="9"/>
    <w:qFormat/>
    <w:rsid w:val="00EC7915"/>
    <w:pPr>
      <w:keepNext/>
      <w:numPr>
        <w:ilvl w:val="3"/>
        <w:numId w:val="9"/>
      </w:numPr>
      <w:spacing w:before="180" w:after="60"/>
      <w:outlineLvl w:val="3"/>
    </w:pPr>
    <w:rPr>
      <w:bCs/>
      <w:color w:val="595959" w:themeColor="text1" w:themeTint="A6"/>
      <w:szCs w:val="28"/>
    </w:rPr>
  </w:style>
  <w:style w:type="paragraph" w:styleId="Heading5">
    <w:name w:val="heading 5"/>
    <w:basedOn w:val="Normal"/>
    <w:next w:val="Normal"/>
    <w:link w:val="Heading5Char"/>
    <w:uiPriority w:val="9"/>
    <w:semiHidden/>
    <w:qFormat/>
    <w:rsid w:val="00E16895"/>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E16895"/>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E16895"/>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semiHidden/>
    <w:qFormat/>
    <w:rsid w:val="00E16895"/>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semiHidden/>
    <w:qFormat/>
    <w:rsid w:val="00E1689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A2"/>
    <w:pPr>
      <w:spacing w:before="0" w:after="0"/>
    </w:pPr>
  </w:style>
  <w:style w:type="paragraph" w:styleId="Footer">
    <w:name w:val="footer"/>
    <w:link w:val="FooterChar"/>
    <w:rsid w:val="00370892"/>
    <w:pPr>
      <w:tabs>
        <w:tab w:val="center" w:pos="4320"/>
        <w:tab w:val="right" w:pos="8640"/>
      </w:tabs>
    </w:pPr>
    <w:rPr>
      <w:rFonts w:ascii="Arial" w:hAnsi="Arial"/>
      <w:sz w:val="16"/>
      <w:szCs w:val="16"/>
      <w:lang w:eastAsia="en-US"/>
    </w:rPr>
  </w:style>
  <w:style w:type="table" w:styleId="TableGrid">
    <w:name w:val="Table Grid"/>
    <w:basedOn w:val="TableNormal"/>
    <w:rsid w:val="00505F57"/>
    <w:pPr>
      <w:spacing w:after="200" w:line="280" w:lineRule="exact"/>
      <w:ind w:left="108"/>
    </w:pPr>
    <w:rPr>
      <w:rFonts w:ascii="Arial" w:hAnsi="Arial"/>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uiPriority w:val="39"/>
    <w:qFormat/>
    <w:rsid w:val="00B521E4"/>
    <w:pPr>
      <w:tabs>
        <w:tab w:val="right" w:leader="dot" w:pos="9356"/>
      </w:tabs>
      <w:spacing w:before="240" w:after="40"/>
      <w:ind w:left="658" w:hanging="658"/>
    </w:pPr>
    <w:rPr>
      <w:b/>
      <w:noProof/>
      <w:szCs w:val="24"/>
    </w:rPr>
  </w:style>
  <w:style w:type="character" w:customStyle="1" w:styleId="UrbisClientCompanyC">
    <w:name w:val="Urbis Client Company_C"/>
    <w:semiHidden/>
    <w:rsid w:val="00475FCF"/>
    <w:rPr>
      <w:rFonts w:ascii="Arial" w:hAnsi="Arial"/>
      <w:color w:val="000080"/>
      <w:sz w:val="30"/>
    </w:rPr>
  </w:style>
  <w:style w:type="paragraph" w:customStyle="1" w:styleId="DisclaimerPadding">
    <w:name w:val="Disclaimer Padding"/>
    <w:basedOn w:val="Normal"/>
    <w:rsid w:val="006F0C5D"/>
    <w:pPr>
      <w:spacing w:before="0" w:after="6240"/>
    </w:pPr>
  </w:style>
  <w:style w:type="paragraph" w:styleId="BodyText">
    <w:name w:val="Body Text"/>
    <w:basedOn w:val="Normal"/>
    <w:link w:val="BodyTextChar"/>
    <w:uiPriority w:val="99"/>
    <w:semiHidden/>
    <w:rsid w:val="00C769DD"/>
    <w:pPr>
      <w:spacing w:after="120"/>
    </w:pPr>
  </w:style>
  <w:style w:type="paragraph" w:customStyle="1" w:styleId="Appendix2">
    <w:name w:val="Appendix 2"/>
    <w:basedOn w:val="Appendix1"/>
    <w:next w:val="Normal"/>
    <w:rsid w:val="00D3791F"/>
    <w:pPr>
      <w:pageBreakBefore w:val="0"/>
      <w:numPr>
        <w:ilvl w:val="1"/>
      </w:numPr>
      <w:spacing w:before="400"/>
      <w:outlineLvl w:val="9"/>
    </w:pPr>
    <w:rPr>
      <w:color w:val="595959" w:themeColor="text1" w:themeTint="A6"/>
      <w:sz w:val="26"/>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uiPriority w:val="39"/>
    <w:qFormat/>
    <w:rsid w:val="006C3C55"/>
    <w:pPr>
      <w:spacing w:after="40"/>
      <w:ind w:left="658" w:hanging="658"/>
    </w:pPr>
    <w:rPr>
      <w:rFonts w:cs="Arial"/>
      <w:noProof/>
    </w:rPr>
  </w:style>
  <w:style w:type="paragraph" w:styleId="TOC3">
    <w:name w:val="toc 3"/>
    <w:basedOn w:val="Normal"/>
    <w:next w:val="Normal"/>
    <w:uiPriority w:val="39"/>
    <w:qFormat/>
    <w:rsid w:val="006C3C55"/>
    <w:pPr>
      <w:spacing w:before="0" w:after="40"/>
      <w:ind w:left="658" w:hanging="658"/>
    </w:pPr>
  </w:style>
  <w:style w:type="paragraph" w:customStyle="1" w:styleId="Appendix4">
    <w:name w:val="Appendix 4"/>
    <w:basedOn w:val="Appendix3"/>
    <w:next w:val="Normal"/>
    <w:rsid w:val="0028359A"/>
    <w:pPr>
      <w:numPr>
        <w:ilvl w:val="3"/>
      </w:numPr>
    </w:pPr>
    <w:rPr>
      <w:sz w:val="22"/>
    </w:rPr>
  </w:style>
  <w:style w:type="paragraph" w:styleId="TableofFigures">
    <w:name w:val="table of figures"/>
    <w:basedOn w:val="Normal"/>
    <w:next w:val="Normal"/>
    <w:autoRedefine/>
    <w:uiPriority w:val="99"/>
    <w:qFormat/>
    <w:rsid w:val="005D23E7"/>
    <w:pPr>
      <w:widowControl w:val="0"/>
      <w:tabs>
        <w:tab w:val="right" w:leader="dot" w:pos="9356"/>
        <w:tab w:val="right" w:leader="dot" w:pos="10773"/>
      </w:tabs>
      <w:spacing w:before="0" w:after="60"/>
      <w:ind w:left="964" w:hanging="964"/>
    </w:pPr>
    <w:rPr>
      <w:szCs w:val="18"/>
    </w:rPr>
  </w:style>
  <w:style w:type="paragraph" w:customStyle="1" w:styleId="TOCSubheadings">
    <w:name w:val="TOC Subheadings"/>
    <w:basedOn w:val="Normal"/>
    <w:rsid w:val="00633178"/>
    <w:pPr>
      <w:spacing w:before="0" w:after="60"/>
    </w:pPr>
    <w:rPr>
      <w:rFonts w:ascii="Arial Bold" w:hAnsi="Arial Bold"/>
      <w:b/>
      <w:color w:val="000000"/>
    </w:rPr>
  </w:style>
  <w:style w:type="paragraph" w:customStyle="1" w:styleId="UrbisPhotoCell">
    <w:name w:val="Urbis Photo Cell"/>
    <w:basedOn w:val="Normal"/>
    <w:semiHidden/>
    <w:rsid w:val="00E20C92"/>
    <w:pPr>
      <w:spacing w:before="0"/>
    </w:pPr>
  </w:style>
  <w:style w:type="paragraph" w:customStyle="1" w:styleId="FooterFileName">
    <w:name w:val="Footer File Name"/>
    <w:rsid w:val="00E41B75"/>
    <w:rPr>
      <w:rFonts w:ascii="Arial" w:hAnsi="Arial"/>
      <w:color w:val="595959" w:themeColor="text1" w:themeTint="A6"/>
      <w:sz w:val="18"/>
      <w:szCs w:val="12"/>
      <w:lang w:eastAsia="en-US"/>
    </w:rPr>
  </w:style>
  <w:style w:type="numbering" w:styleId="111111">
    <w:name w:val="Outline List 2"/>
    <w:basedOn w:val="NoList"/>
    <w:semiHidden/>
    <w:rsid w:val="00516E2A"/>
    <w:pPr>
      <w:numPr>
        <w:numId w:val="6"/>
      </w:numPr>
    </w:pPr>
  </w:style>
  <w:style w:type="numbering" w:styleId="1ai">
    <w:name w:val="Outline List 1"/>
    <w:basedOn w:val="NoList"/>
    <w:semiHidden/>
    <w:rsid w:val="00516E2A"/>
    <w:pPr>
      <w:numPr>
        <w:numId w:val="7"/>
      </w:numPr>
    </w:pPr>
  </w:style>
  <w:style w:type="numbering" w:styleId="ArticleSection">
    <w:name w:val="Outline List 3"/>
    <w:basedOn w:val="NoList"/>
    <w:semiHidden/>
    <w:rsid w:val="00516E2A"/>
    <w:pPr>
      <w:numPr>
        <w:numId w:val="8"/>
      </w:numPr>
    </w:pPr>
  </w:style>
  <w:style w:type="paragraph" w:styleId="BlockText">
    <w:name w:val="Block Text"/>
    <w:basedOn w:val="Normal"/>
    <w:semiHidden/>
    <w:rsid w:val="00516E2A"/>
    <w:pPr>
      <w:spacing w:after="120"/>
      <w:ind w:left="1440" w:right="1440"/>
    </w:pPr>
  </w:style>
  <w:style w:type="paragraph" w:styleId="BodyText2">
    <w:name w:val="Body Text 2"/>
    <w:basedOn w:val="Normal"/>
    <w:semiHidden/>
    <w:rsid w:val="00516E2A"/>
    <w:pPr>
      <w:spacing w:after="120" w:line="480" w:lineRule="auto"/>
    </w:pPr>
  </w:style>
  <w:style w:type="paragraph" w:styleId="BodyText3">
    <w:name w:val="Body Text 3"/>
    <w:basedOn w:val="Normal"/>
    <w:semiHidden/>
    <w:rsid w:val="00516E2A"/>
    <w:pPr>
      <w:spacing w:after="120"/>
    </w:pPr>
    <w:rPr>
      <w:sz w:val="16"/>
      <w:szCs w:val="16"/>
    </w:rPr>
  </w:style>
  <w:style w:type="paragraph" w:styleId="BodyTextFirstIndent">
    <w:name w:val="Body Text First Indent"/>
    <w:basedOn w:val="BodyText"/>
    <w:semiHidden/>
    <w:rsid w:val="00516E2A"/>
    <w:pPr>
      <w:ind w:firstLine="210"/>
    </w:pPr>
  </w:style>
  <w:style w:type="paragraph" w:styleId="BodyTextIndent">
    <w:name w:val="Body Text Indent"/>
    <w:basedOn w:val="Normal"/>
    <w:semiHidden/>
    <w:rsid w:val="00516E2A"/>
    <w:pPr>
      <w:spacing w:after="120"/>
      <w:ind w:left="283"/>
    </w:pPr>
  </w:style>
  <w:style w:type="paragraph" w:styleId="BodyTextFirstIndent2">
    <w:name w:val="Body Text First Indent 2"/>
    <w:basedOn w:val="BodyTextIndent"/>
    <w:semiHidden/>
    <w:rsid w:val="00516E2A"/>
    <w:pPr>
      <w:ind w:firstLine="210"/>
    </w:pPr>
  </w:style>
  <w:style w:type="paragraph" w:styleId="BodyTextIndent2">
    <w:name w:val="Body Text Indent 2"/>
    <w:basedOn w:val="Normal"/>
    <w:semiHidden/>
    <w:rsid w:val="00516E2A"/>
    <w:pPr>
      <w:spacing w:after="120" w:line="480" w:lineRule="auto"/>
      <w:ind w:left="283"/>
    </w:pPr>
  </w:style>
  <w:style w:type="paragraph" w:styleId="BodyTextIndent3">
    <w:name w:val="Body Text Indent 3"/>
    <w:basedOn w:val="Normal"/>
    <w:semiHidden/>
    <w:rsid w:val="00516E2A"/>
    <w:pPr>
      <w:spacing w:after="120"/>
      <w:ind w:left="283"/>
    </w:pPr>
    <w:rPr>
      <w:sz w:val="16"/>
      <w:szCs w:val="16"/>
    </w:rPr>
  </w:style>
  <w:style w:type="paragraph" w:styleId="Closing">
    <w:name w:val="Closing"/>
    <w:basedOn w:val="Normal"/>
    <w:semiHidden/>
    <w:rsid w:val="00516E2A"/>
    <w:pPr>
      <w:ind w:left="4252"/>
    </w:pPr>
  </w:style>
  <w:style w:type="paragraph" w:styleId="Date">
    <w:name w:val="Date"/>
    <w:basedOn w:val="Normal"/>
    <w:next w:val="Normal"/>
    <w:semiHidden/>
    <w:rsid w:val="00516E2A"/>
  </w:style>
  <w:style w:type="paragraph" w:styleId="E-mailSignature">
    <w:name w:val="E-mail Signature"/>
    <w:basedOn w:val="Normal"/>
    <w:semiHidden/>
    <w:rsid w:val="00516E2A"/>
  </w:style>
  <w:style w:type="character" w:styleId="Emphasis">
    <w:name w:val="Emphasis"/>
    <w:uiPriority w:val="20"/>
    <w:rsid w:val="00516E2A"/>
    <w:rPr>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uiPriority w:val="99"/>
    <w:semiHidden/>
    <w:rsid w:val="00516E2A"/>
    <w:rPr>
      <w:color w:val="800080"/>
      <w:u w:val="single"/>
    </w:rPr>
  </w:style>
  <w:style w:type="character" w:styleId="HTMLAcronym">
    <w:name w:val="HTML Acronym"/>
    <w:basedOn w:val="DefaultParagraphFont"/>
    <w:semiHidden/>
    <w:rsid w:val="00516E2A"/>
  </w:style>
  <w:style w:type="paragraph" w:styleId="HTMLAddress">
    <w:name w:val="HTML Address"/>
    <w:basedOn w:val="Normal"/>
    <w:semiHidden/>
    <w:rsid w:val="00516E2A"/>
    <w:rPr>
      <w:i/>
      <w:iCs/>
    </w:rPr>
  </w:style>
  <w:style w:type="character" w:styleId="HTMLCite">
    <w:name w:val="HTML Cite"/>
    <w:semiHidden/>
    <w:rsid w:val="00516E2A"/>
    <w:rPr>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semiHidden/>
    <w:rsid w:val="00516E2A"/>
    <w:rPr>
      <w:rFonts w:ascii="Courier New" w:hAnsi="Courier New" w:cs="Courier New"/>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i/>
      <w:iCs/>
    </w:rPr>
  </w:style>
  <w:style w:type="character" w:styleId="Hyperlink">
    <w:name w:val="Hyperlink"/>
    <w:uiPriority w:val="99"/>
    <w:rsid w:val="00B216C7"/>
    <w:rPr>
      <w:rFonts w:ascii="Arial" w:hAnsi="Arial"/>
      <w:color w:val="00314D"/>
      <w:sz w:val="20"/>
      <w:u w:val="none"/>
    </w:rPr>
  </w:style>
  <w:style w:type="character" w:styleId="LineNumber">
    <w:name w:val="line number"/>
    <w:basedOn w:val="DefaultParagraphFont"/>
    <w:semiHidden/>
    <w:rsid w:val="00516E2A"/>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5">
    <w:name w:val="List Bullet 5"/>
    <w:basedOn w:val="Normal"/>
    <w:semiHidden/>
    <w:rsid w:val="00516E2A"/>
    <w:pPr>
      <w:numPr>
        <w:numId w:val="1"/>
      </w:numPr>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2">
    <w:name w:val="List Number 2"/>
    <w:basedOn w:val="Normal"/>
    <w:semiHidden/>
    <w:rsid w:val="00516E2A"/>
    <w:pPr>
      <w:numPr>
        <w:numId w:val="2"/>
      </w:numPr>
    </w:pPr>
  </w:style>
  <w:style w:type="paragraph" w:styleId="ListNumber3">
    <w:name w:val="List Number 3"/>
    <w:basedOn w:val="Normal"/>
    <w:semiHidden/>
    <w:rsid w:val="00516E2A"/>
    <w:pPr>
      <w:numPr>
        <w:numId w:val="3"/>
      </w:numPr>
    </w:pPr>
  </w:style>
  <w:style w:type="paragraph" w:styleId="ListNumber4">
    <w:name w:val="List Number 4"/>
    <w:basedOn w:val="Normal"/>
    <w:semiHidden/>
    <w:rsid w:val="00516E2A"/>
    <w:pPr>
      <w:numPr>
        <w:numId w:val="4"/>
      </w:numPr>
    </w:pPr>
  </w:style>
  <w:style w:type="paragraph" w:styleId="ListNumber5">
    <w:name w:val="List Number 5"/>
    <w:basedOn w:val="Normal"/>
    <w:semiHidden/>
    <w:rsid w:val="00516E2A"/>
    <w:pPr>
      <w:numPr>
        <w:numId w:val="5"/>
      </w:numPr>
    </w:pPr>
  </w:style>
  <w:style w:type="paragraph" w:styleId="MessageHeader">
    <w:name w:val="Message Header"/>
    <w:basedOn w:val="Normal"/>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516E2A"/>
    <w:rPr>
      <w:rFonts w:ascii="Times New Roman" w:hAnsi="Times New Roman"/>
      <w:sz w:val="24"/>
      <w:szCs w:val="24"/>
    </w:rPr>
  </w:style>
  <w:style w:type="paragraph" w:styleId="NoteHeading">
    <w:name w:val="Note Heading"/>
    <w:basedOn w:val="Normal"/>
    <w:next w:val="Normal"/>
    <w:semiHidden/>
    <w:rsid w:val="00516E2A"/>
  </w:style>
  <w:style w:type="paragraph" w:styleId="PlainText">
    <w:name w:val="Plain Text"/>
    <w:basedOn w:val="Normal"/>
    <w:semiHidden/>
    <w:rsid w:val="00516E2A"/>
    <w:rPr>
      <w:rFonts w:ascii="Courier New" w:hAnsi="Courier New" w:cs="Courier New"/>
    </w:rPr>
  </w:style>
  <w:style w:type="paragraph" w:styleId="Salutation">
    <w:name w:val="Salutation"/>
    <w:basedOn w:val="Normal"/>
    <w:next w:val="Normal"/>
    <w:semiHidden/>
    <w:rsid w:val="00516E2A"/>
  </w:style>
  <w:style w:type="paragraph" w:styleId="Signature">
    <w:name w:val="Signature"/>
    <w:basedOn w:val="Normal"/>
    <w:semiHidden/>
    <w:rsid w:val="00516E2A"/>
    <w:pPr>
      <w:ind w:left="4252"/>
    </w:pPr>
  </w:style>
  <w:style w:type="table" w:styleId="Table3Deffects1">
    <w:name w:val="Table 3D effects 1"/>
    <w:basedOn w:val="TableNormal"/>
    <w:semiHidden/>
    <w:rsid w:val="00516E2A"/>
    <w:pPr>
      <w:spacing w:before="40"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6E2A"/>
    <w:pPr>
      <w:spacing w:before="40" w:after="1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6E2A"/>
    <w:pPr>
      <w:spacing w:before="40" w:after="1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927F4"/>
    <w:pPr>
      <w:spacing w:after="200" w:line="280" w:lineRule="exact"/>
      <w:ind w:left="108"/>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cPr>
      <w:shd w:val="clear" w:color="auto" w:fill="auto"/>
    </w:tcPr>
    <w:tblStylePr w:type="firstRow">
      <w:rPr>
        <w:rFonts w:ascii="Arial" w:hAnsi="Arial"/>
        <w:b w:val="0"/>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6E2A"/>
    <w:pPr>
      <w:spacing w:before="40" w:after="1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semiHidden/>
    <w:rsid w:val="00D957D4"/>
    <w:rPr>
      <w:rFonts w:ascii="Arial" w:hAnsi="Arial"/>
      <w:sz w:val="20"/>
      <w:vertAlign w:val="superscript"/>
    </w:rPr>
  </w:style>
  <w:style w:type="paragraph" w:customStyle="1" w:styleId="UrbisTableBullets2">
    <w:name w:val="Urbis_Table_Bullets_2"/>
    <w:basedOn w:val="UrbisTableBullets"/>
    <w:qFormat/>
    <w:rsid w:val="00046E6E"/>
    <w:pPr>
      <w:ind w:left="681"/>
    </w:pPr>
  </w:style>
  <w:style w:type="paragraph" w:customStyle="1" w:styleId="Appendix3">
    <w:name w:val="Appendix 3"/>
    <w:basedOn w:val="Appendix2"/>
    <w:next w:val="Normal"/>
    <w:link w:val="Appendix3Char"/>
    <w:rsid w:val="001B13B2"/>
    <w:pPr>
      <w:numPr>
        <w:ilvl w:val="2"/>
      </w:numPr>
      <w:tabs>
        <w:tab w:val="left" w:pos="2183"/>
      </w:tabs>
      <w:spacing w:before="300"/>
    </w:pPr>
    <w:rPr>
      <w:color w:val="666666"/>
      <w:sz w:val="24"/>
    </w:rPr>
  </w:style>
  <w:style w:type="character" w:customStyle="1" w:styleId="Appendix3Char">
    <w:name w:val="Appendix 3 Char"/>
    <w:link w:val="Appendix3"/>
    <w:rsid w:val="001B13B2"/>
    <w:rPr>
      <w:rFonts w:ascii="Arial" w:hAnsi="Arial"/>
      <w:color w:val="666666"/>
      <w:sz w:val="24"/>
      <w:szCs w:val="48"/>
      <w:lang w:eastAsia="en-US"/>
    </w:rPr>
  </w:style>
  <w:style w:type="character" w:styleId="PageNumber">
    <w:name w:val="page number"/>
    <w:rsid w:val="00D36072"/>
    <w:rPr>
      <w:rFonts w:ascii="Arial" w:hAnsi="Arial"/>
      <w:color w:val="595959" w:themeColor="text1" w:themeTint="A6"/>
      <w:sz w:val="32"/>
    </w:rPr>
  </w:style>
  <w:style w:type="paragraph" w:customStyle="1" w:styleId="UrbisTCEntry">
    <w:name w:val="Urbis TC Entry"/>
    <w:basedOn w:val="Normal"/>
    <w:rsid w:val="00634D8A"/>
  </w:style>
  <w:style w:type="paragraph" w:customStyle="1" w:styleId="UrbisClientLogo">
    <w:name w:val="Urbis Client Logo"/>
    <w:basedOn w:val="Normal"/>
    <w:rsid w:val="003A2766"/>
    <w:pPr>
      <w:spacing w:before="0" w:after="0"/>
      <w:ind w:right="57"/>
      <w:jc w:val="right"/>
    </w:pPr>
  </w:style>
  <w:style w:type="paragraph" w:styleId="BalloonText">
    <w:name w:val="Balloon Text"/>
    <w:basedOn w:val="Normal"/>
    <w:link w:val="BalloonTextChar"/>
    <w:uiPriority w:val="99"/>
    <w:semiHidden/>
    <w:rsid w:val="0094359F"/>
    <w:rPr>
      <w:rFonts w:ascii="Tahoma" w:hAnsi="Tahoma" w:cs="Tahoma"/>
      <w:sz w:val="16"/>
      <w:szCs w:val="16"/>
    </w:rPr>
  </w:style>
  <w:style w:type="paragraph" w:customStyle="1" w:styleId="UrbisDisclaimer">
    <w:name w:val="Urbis Disclaimer"/>
    <w:basedOn w:val="Normal"/>
    <w:rsid w:val="00A02671"/>
    <w:pPr>
      <w:spacing w:before="0" w:after="80"/>
    </w:pPr>
    <w:rPr>
      <w:sz w:val="18"/>
      <w:szCs w:val="18"/>
    </w:rPr>
  </w:style>
  <w:style w:type="paragraph" w:customStyle="1" w:styleId="TableCaption">
    <w:name w:val="Table Caption"/>
    <w:basedOn w:val="Normal"/>
    <w:link w:val="TableCaptionChar"/>
    <w:qFormat/>
    <w:rsid w:val="009779FA"/>
    <w:pPr>
      <w:keepNext/>
      <w:tabs>
        <w:tab w:val="left" w:pos="980"/>
      </w:tabs>
      <w:spacing w:after="60"/>
      <w:ind w:left="981" w:hanging="981"/>
    </w:pPr>
    <w:rPr>
      <w:color w:val="00314D"/>
    </w:rPr>
  </w:style>
  <w:style w:type="table" w:customStyle="1" w:styleId="CaptionTable">
    <w:name w:val="Caption_Table"/>
    <w:basedOn w:val="TableNormal"/>
    <w:rsid w:val="00F41FD7"/>
    <w:tblPr/>
    <w:tcPr>
      <w:vAlign w:val="bottom"/>
    </w:tcPr>
    <w:tblStylePr w:type="firstRow">
      <w:rPr>
        <w:rFonts w:ascii="Arial" w:hAnsi="Arial"/>
        <w:caps w:val="0"/>
        <w:smallCaps w:val="0"/>
        <w:color w:val="009FE3"/>
        <w:sz w:val="24"/>
      </w:rPr>
      <w:tblPr/>
      <w:tcPr>
        <w:tcBorders>
          <w:top w:val="nil"/>
          <w:left w:val="nil"/>
          <w:bottom w:val="nil"/>
          <w:right w:val="nil"/>
          <w:insideH w:val="nil"/>
          <w:insideV w:val="nil"/>
          <w:tl2br w:val="nil"/>
          <w:tr2bl w:val="nil"/>
        </w:tcBorders>
      </w:tcPr>
    </w:tblStylePr>
    <w:tblStylePr w:type="lastRow">
      <w:rPr>
        <w:rFonts w:ascii="Arial" w:hAnsi="Arial"/>
        <w:caps/>
        <w:smallCaps w:val="0"/>
        <w:color w:val="7F7F7F"/>
        <w:sz w:val="16"/>
      </w:rPr>
      <w:tblPr/>
      <w:tcPr>
        <w:tcBorders>
          <w:bottom w:val="dotted" w:sz="4" w:space="0" w:color="0092D2"/>
        </w:tcBorders>
      </w:tcPr>
    </w:tblStylePr>
  </w:style>
  <w:style w:type="character" w:customStyle="1" w:styleId="TableCaptionChar">
    <w:name w:val="Table Caption Char"/>
    <w:link w:val="TableCaption"/>
    <w:rsid w:val="009779FA"/>
    <w:rPr>
      <w:rFonts w:ascii="Arial" w:hAnsi="Arial"/>
      <w:color w:val="00314D"/>
      <w:lang w:eastAsia="en-US"/>
    </w:rPr>
  </w:style>
  <w:style w:type="paragraph" w:customStyle="1" w:styleId="CaptionPictures">
    <w:name w:val="Caption Pictures"/>
    <w:basedOn w:val="Normal"/>
    <w:rsid w:val="00E014FC"/>
    <w:pPr>
      <w:keepNext/>
      <w:tabs>
        <w:tab w:val="left" w:pos="1021"/>
      </w:tabs>
      <w:spacing w:after="120"/>
      <w:ind w:left="1021" w:hanging="1021"/>
    </w:pPr>
    <w:rPr>
      <w:bCs/>
      <w:color w:val="00314D"/>
      <w:sz w:val="16"/>
      <w:szCs w:val="16"/>
    </w:rPr>
  </w:style>
  <w:style w:type="paragraph" w:customStyle="1" w:styleId="Spacer">
    <w:name w:val="Spacer"/>
    <w:basedOn w:val="Normal"/>
    <w:rsid w:val="00216B44"/>
    <w:pPr>
      <w:spacing w:before="0" w:after="0"/>
    </w:pPr>
    <w:rPr>
      <w:sz w:val="2"/>
      <w:szCs w:val="2"/>
    </w:rPr>
  </w:style>
  <w:style w:type="character" w:customStyle="1" w:styleId="FooterChar">
    <w:name w:val="Footer Char"/>
    <w:link w:val="Footer"/>
    <w:rsid w:val="001F7FC7"/>
    <w:rPr>
      <w:rFonts w:ascii="Arial" w:hAnsi="Arial"/>
      <w:sz w:val="16"/>
      <w:szCs w:val="16"/>
      <w:lang w:val="en-AU" w:eastAsia="en-US" w:bidi="ar-SA"/>
    </w:rPr>
  </w:style>
  <w:style w:type="paragraph" w:customStyle="1" w:styleId="PictureCaption">
    <w:name w:val="Picture Caption"/>
    <w:basedOn w:val="Normal"/>
    <w:rsid w:val="0098595A"/>
    <w:pPr>
      <w:keepNext/>
      <w:tabs>
        <w:tab w:val="left" w:pos="1021"/>
      </w:tabs>
      <w:spacing w:after="120"/>
    </w:pPr>
    <w:rPr>
      <w:sz w:val="18"/>
    </w:rPr>
  </w:style>
  <w:style w:type="paragraph" w:customStyle="1" w:styleId="UrbisImageCell">
    <w:name w:val="Urbis Image Cell"/>
    <w:basedOn w:val="UrbisPhotoCell"/>
    <w:rsid w:val="006D5B58"/>
    <w:pPr>
      <w:keepNext/>
      <w:spacing w:after="60"/>
    </w:pPr>
    <w:rPr>
      <w:sz w:val="22"/>
    </w:rPr>
  </w:style>
  <w:style w:type="paragraph" w:customStyle="1" w:styleId="UrbisTableBody">
    <w:name w:val="Urbis_Table_Body"/>
    <w:basedOn w:val="Normal"/>
    <w:rsid w:val="009D7FB8"/>
    <w:pPr>
      <w:spacing w:before="0" w:after="200" w:line="280" w:lineRule="exact"/>
      <w:ind w:left="108"/>
    </w:pPr>
    <w:rPr>
      <w:sz w:val="18"/>
      <w:szCs w:val="18"/>
    </w:rPr>
  </w:style>
  <w:style w:type="paragraph" w:customStyle="1" w:styleId="UrbisTableBullets">
    <w:name w:val="Urbis_Table_Bullets"/>
    <w:basedOn w:val="UrbisTableBody"/>
    <w:rsid w:val="00E93726"/>
    <w:pPr>
      <w:numPr>
        <w:numId w:val="10"/>
      </w:numPr>
      <w:ind w:left="454"/>
    </w:pPr>
    <w:rPr>
      <w:sz w:val="20"/>
    </w:rPr>
  </w:style>
  <w:style w:type="paragraph" w:customStyle="1" w:styleId="Appendix1">
    <w:name w:val="Appendix 1"/>
    <w:basedOn w:val="Normal"/>
    <w:next w:val="Normal"/>
    <w:qFormat/>
    <w:rsid w:val="00B216C7"/>
    <w:pPr>
      <w:keepNext/>
      <w:pageBreakBefore/>
      <w:numPr>
        <w:numId w:val="11"/>
      </w:numPr>
      <w:spacing w:before="3000" w:after="120"/>
      <w:ind w:left="3402" w:hanging="3402"/>
      <w:outlineLvl w:val="0"/>
    </w:pPr>
    <w:rPr>
      <w:color w:val="00314D"/>
      <w:sz w:val="36"/>
      <w:szCs w:val="48"/>
    </w:rPr>
  </w:style>
  <w:style w:type="paragraph" w:styleId="TOCHeading">
    <w:name w:val="TOC Heading"/>
    <w:basedOn w:val="Heading1"/>
    <w:next w:val="Normal"/>
    <w:uiPriority w:val="39"/>
    <w:unhideWhenUsed/>
    <w:qFormat/>
    <w:rsid w:val="00307378"/>
    <w:pPr>
      <w:keepLines/>
      <w:pageBreakBefore w:val="0"/>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en-US" w:eastAsia="ja-JP"/>
    </w:rPr>
  </w:style>
  <w:style w:type="paragraph" w:customStyle="1" w:styleId="UrbisTableBody0">
    <w:name w:val="Urbis Table Body"/>
    <w:basedOn w:val="Normal"/>
    <w:qFormat/>
    <w:rsid w:val="00E93726"/>
    <w:pPr>
      <w:spacing w:before="120" w:after="120" w:line="240" w:lineRule="exact"/>
      <w:ind w:left="108"/>
    </w:pPr>
    <w:rPr>
      <w:szCs w:val="18"/>
    </w:rPr>
  </w:style>
  <w:style w:type="paragraph" w:customStyle="1" w:styleId="UrbisTableHeader">
    <w:name w:val="Urbis Table Header"/>
    <w:basedOn w:val="Normal"/>
    <w:qFormat/>
    <w:rsid w:val="00D04C9C"/>
    <w:pPr>
      <w:spacing w:before="120" w:after="120" w:line="240" w:lineRule="exact"/>
      <w:ind w:left="108"/>
    </w:pPr>
    <w:rPr>
      <w:color w:val="00314D"/>
      <w:szCs w:val="24"/>
    </w:rPr>
  </w:style>
  <w:style w:type="paragraph" w:customStyle="1" w:styleId="ExceTableDescription">
    <w:name w:val="Exce Table Description"/>
    <w:basedOn w:val="Normal"/>
    <w:rsid w:val="007712B2"/>
    <w:pPr>
      <w:spacing w:before="0" w:after="0"/>
    </w:pPr>
    <w:rPr>
      <w:color w:val="595959" w:themeColor="text1" w:themeTint="A6"/>
      <w:lang w:eastAsia="en-AU"/>
    </w:rPr>
  </w:style>
  <w:style w:type="paragraph" w:customStyle="1" w:styleId="ExcelTableHeading">
    <w:name w:val="Excel Table Heading"/>
    <w:basedOn w:val="Normal"/>
    <w:rsid w:val="00B216C7"/>
    <w:pPr>
      <w:spacing w:before="0" w:after="0"/>
    </w:pPr>
    <w:rPr>
      <w:color w:val="00314D"/>
      <w:sz w:val="24"/>
    </w:rPr>
  </w:style>
  <w:style w:type="paragraph" w:customStyle="1" w:styleId="Disclaimer">
    <w:name w:val="Disclaimer"/>
    <w:qFormat/>
    <w:rsid w:val="00EA5BD5"/>
    <w:pPr>
      <w:spacing w:after="120"/>
    </w:pPr>
    <w:rPr>
      <w:rFonts w:ascii="Arial" w:hAnsi="Arial" w:cs="Arial"/>
      <w:bCs/>
      <w:szCs w:val="32"/>
      <w:lang w:eastAsia="en-US"/>
    </w:rPr>
  </w:style>
  <w:style w:type="paragraph" w:styleId="Title">
    <w:name w:val="Title"/>
    <w:basedOn w:val="Normal"/>
    <w:next w:val="Normal"/>
    <w:link w:val="TitleChar"/>
    <w:uiPriority w:val="10"/>
    <w:qFormat/>
    <w:rsid w:val="00B216C7"/>
    <w:pPr>
      <w:shd w:val="clear" w:color="auto" w:fill="FFFFFF"/>
      <w:spacing w:before="0" w:line="720" w:lineRule="exact"/>
      <w:jc w:val="right"/>
    </w:pPr>
    <w:rPr>
      <w:rFonts w:eastAsiaTheme="majorEastAsia" w:cstheme="majorBidi"/>
      <w:color w:val="00314D"/>
      <w:sz w:val="52"/>
      <w:szCs w:val="52"/>
    </w:rPr>
  </w:style>
  <w:style w:type="character" w:customStyle="1" w:styleId="TitleChar">
    <w:name w:val="Title Char"/>
    <w:basedOn w:val="DefaultParagraphFont"/>
    <w:link w:val="Title"/>
    <w:uiPriority w:val="10"/>
    <w:rsid w:val="00B216C7"/>
    <w:rPr>
      <w:rFonts w:ascii="Arial" w:eastAsiaTheme="majorEastAsia" w:hAnsi="Arial" w:cstheme="majorBidi"/>
      <w:color w:val="00314D"/>
      <w:sz w:val="52"/>
      <w:szCs w:val="52"/>
      <w:shd w:val="clear" w:color="auto" w:fill="FFFFFF"/>
      <w:lang w:eastAsia="en-US"/>
    </w:rPr>
  </w:style>
  <w:style w:type="paragraph" w:styleId="Subtitle">
    <w:name w:val="Subtitle"/>
    <w:basedOn w:val="Normal"/>
    <w:next w:val="Normal"/>
    <w:link w:val="SubtitleChar"/>
    <w:uiPriority w:val="11"/>
    <w:qFormat/>
    <w:rsid w:val="00B216C7"/>
    <w:pPr>
      <w:numPr>
        <w:ilvl w:val="1"/>
      </w:numPr>
      <w:shd w:val="clear" w:color="auto" w:fill="FFFFFF"/>
      <w:spacing w:before="0"/>
      <w:jc w:val="right"/>
    </w:pPr>
    <w:rPr>
      <w:rFonts w:eastAsiaTheme="majorEastAsia" w:cstheme="majorBidi"/>
      <w:iCs/>
      <w:color w:val="00314D"/>
      <w:spacing w:val="15"/>
      <w:sz w:val="28"/>
      <w:szCs w:val="24"/>
    </w:rPr>
  </w:style>
  <w:style w:type="character" w:customStyle="1" w:styleId="SubtitleChar">
    <w:name w:val="Subtitle Char"/>
    <w:basedOn w:val="DefaultParagraphFont"/>
    <w:link w:val="Subtitle"/>
    <w:uiPriority w:val="11"/>
    <w:rsid w:val="00B216C7"/>
    <w:rPr>
      <w:rFonts w:ascii="Arial" w:eastAsiaTheme="majorEastAsia" w:hAnsi="Arial" w:cstheme="majorBidi"/>
      <w:iCs/>
      <w:color w:val="00314D"/>
      <w:spacing w:val="15"/>
      <w:sz w:val="28"/>
      <w:szCs w:val="24"/>
      <w:shd w:val="clear" w:color="auto" w:fill="FFFFFF"/>
      <w:lang w:eastAsia="en-US"/>
    </w:rPr>
  </w:style>
  <w:style w:type="paragraph" w:customStyle="1" w:styleId="Logo">
    <w:name w:val="Logo"/>
    <w:basedOn w:val="Normal"/>
    <w:rsid w:val="00B216C7"/>
    <w:pPr>
      <w:shd w:val="clear" w:color="auto" w:fill="FFFFFF"/>
      <w:spacing w:before="1800" w:after="120"/>
      <w:jc w:val="right"/>
    </w:pPr>
    <w:rPr>
      <w:rFonts w:ascii="Calibri" w:eastAsiaTheme="minorHAnsi" w:hAnsi="Calibri"/>
      <w:color w:val="00314D"/>
    </w:rPr>
  </w:style>
  <w:style w:type="paragraph" w:customStyle="1" w:styleId="NoSpace">
    <w:name w:val="No Space"/>
    <w:basedOn w:val="Normal"/>
    <w:qFormat/>
    <w:rsid w:val="00A95F85"/>
    <w:pPr>
      <w:spacing w:before="0" w:after="0"/>
    </w:pPr>
  </w:style>
  <w:style w:type="character" w:styleId="PlaceholderText">
    <w:name w:val="Placeholder Text"/>
    <w:basedOn w:val="DefaultParagraphFont"/>
    <w:uiPriority w:val="99"/>
    <w:semiHidden/>
    <w:rsid w:val="00EA5BD5"/>
    <w:rPr>
      <w:color w:val="808080"/>
    </w:rPr>
  </w:style>
  <w:style w:type="paragraph" w:customStyle="1" w:styleId="CrossReference">
    <w:name w:val="Cross_Reference"/>
    <w:basedOn w:val="Normal"/>
    <w:qFormat/>
    <w:rsid w:val="00B216C7"/>
    <w:rPr>
      <w:color w:val="00314D"/>
    </w:rPr>
  </w:style>
  <w:style w:type="paragraph" w:styleId="Quote">
    <w:name w:val="Quote"/>
    <w:basedOn w:val="Normal"/>
    <w:next w:val="Normal"/>
    <w:link w:val="QuoteChar"/>
    <w:uiPriority w:val="29"/>
    <w:qFormat/>
    <w:rsid w:val="00844F54"/>
    <w:pPr>
      <w:ind w:left="454" w:right="454"/>
    </w:pPr>
    <w:rPr>
      <w:i/>
      <w:iCs/>
      <w:color w:val="000000" w:themeColor="text1"/>
      <w:sz w:val="18"/>
    </w:rPr>
  </w:style>
  <w:style w:type="character" w:customStyle="1" w:styleId="QuoteChar">
    <w:name w:val="Quote Char"/>
    <w:basedOn w:val="DefaultParagraphFont"/>
    <w:link w:val="Quote"/>
    <w:uiPriority w:val="29"/>
    <w:rsid w:val="00844F54"/>
    <w:rPr>
      <w:rFonts w:ascii="Arial" w:hAnsi="Arial"/>
      <w:i/>
      <w:iCs/>
      <w:color w:val="000000" w:themeColor="text1"/>
      <w:sz w:val="18"/>
      <w:lang w:eastAsia="en-US"/>
    </w:rPr>
  </w:style>
  <w:style w:type="paragraph" w:styleId="FootnoteText">
    <w:name w:val="footnote text"/>
    <w:basedOn w:val="Normal"/>
    <w:link w:val="FootnoteTextChar"/>
    <w:rsid w:val="000646B5"/>
    <w:pPr>
      <w:spacing w:before="0" w:after="0"/>
    </w:pPr>
  </w:style>
  <w:style w:type="character" w:customStyle="1" w:styleId="FootnoteTextChar">
    <w:name w:val="Footnote Text Char"/>
    <w:basedOn w:val="DefaultParagraphFont"/>
    <w:link w:val="FootnoteText"/>
    <w:rsid w:val="000646B5"/>
    <w:rPr>
      <w:rFonts w:ascii="Arial" w:hAnsi="Arial"/>
      <w:lang w:eastAsia="en-US"/>
    </w:rPr>
  </w:style>
  <w:style w:type="paragraph" w:customStyle="1" w:styleId="Head1">
    <w:name w:val="Head 1"/>
    <w:basedOn w:val="Heading1"/>
    <w:qFormat/>
    <w:rsid w:val="00F523D7"/>
    <w:pPr>
      <w:numPr>
        <w:numId w:val="0"/>
      </w:numPr>
    </w:pPr>
  </w:style>
  <w:style w:type="paragraph" w:customStyle="1" w:styleId="Head2">
    <w:name w:val="Head 2"/>
    <w:basedOn w:val="Heading2"/>
    <w:qFormat/>
    <w:rsid w:val="00F0754B"/>
    <w:pPr>
      <w:numPr>
        <w:ilvl w:val="0"/>
        <w:numId w:val="0"/>
      </w:numPr>
    </w:pPr>
  </w:style>
  <w:style w:type="paragraph" w:customStyle="1" w:styleId="Head3">
    <w:name w:val="Head 3"/>
    <w:basedOn w:val="Heading3"/>
    <w:qFormat/>
    <w:rsid w:val="00F0754B"/>
    <w:pPr>
      <w:numPr>
        <w:ilvl w:val="0"/>
        <w:numId w:val="0"/>
      </w:numPr>
    </w:pPr>
  </w:style>
  <w:style w:type="paragraph" w:customStyle="1" w:styleId="Head4">
    <w:name w:val="Head 4"/>
    <w:basedOn w:val="Heading4"/>
    <w:qFormat/>
    <w:rsid w:val="00F0754B"/>
    <w:pPr>
      <w:numPr>
        <w:ilvl w:val="0"/>
        <w:numId w:val="0"/>
      </w:numPr>
    </w:pPr>
  </w:style>
  <w:style w:type="paragraph" w:styleId="ListParagraph">
    <w:name w:val="List Paragraph"/>
    <w:basedOn w:val="Normal"/>
    <w:link w:val="ListParagraphChar"/>
    <w:uiPriority w:val="34"/>
    <w:qFormat/>
    <w:rsid w:val="004D0D51"/>
    <w:pPr>
      <w:ind w:left="357" w:hanging="357"/>
    </w:pPr>
  </w:style>
  <w:style w:type="paragraph" w:customStyle="1" w:styleId="Head10">
    <w:name w:val="Head1"/>
    <w:basedOn w:val="Normal"/>
    <w:next w:val="Normal"/>
    <w:qFormat/>
    <w:rsid w:val="00B0454F"/>
    <w:pPr>
      <w:spacing w:before="0" w:after="160"/>
    </w:pPr>
    <w:rPr>
      <w:rFonts w:ascii="Flama Cond Bold" w:hAnsi="Flama Cond Bold" w:cs="Courier New"/>
      <w:caps/>
      <w:color w:val="000000" w:themeColor="text1"/>
      <w:sz w:val="48"/>
    </w:rPr>
  </w:style>
  <w:style w:type="paragraph" w:customStyle="1" w:styleId="Head20">
    <w:name w:val="Head2"/>
    <w:basedOn w:val="Normal"/>
    <w:next w:val="Normal"/>
    <w:qFormat/>
    <w:rsid w:val="00B0454F"/>
    <w:pPr>
      <w:spacing w:before="0" w:after="120"/>
    </w:pPr>
    <w:rPr>
      <w:rFonts w:ascii="Flama Cond Bold" w:hAnsi="Flama Cond Bold" w:cs="Courier New"/>
      <w:caps/>
      <w:color w:val="000000" w:themeColor="text1"/>
      <w:sz w:val="36"/>
    </w:rPr>
  </w:style>
  <w:style w:type="character" w:customStyle="1" w:styleId="ListParagraphChar">
    <w:name w:val="List Paragraph Char"/>
    <w:link w:val="ListParagraph"/>
    <w:uiPriority w:val="34"/>
    <w:rsid w:val="00B0454F"/>
    <w:rPr>
      <w:rFonts w:ascii="Arial" w:hAnsi="Arial"/>
      <w:lang w:eastAsia="en-US"/>
    </w:rPr>
  </w:style>
  <w:style w:type="table" w:customStyle="1" w:styleId="Urbis-Default">
    <w:name w:val="Urbis-Default"/>
    <w:basedOn w:val="TableNormal"/>
    <w:rsid w:val="00B0454F"/>
    <w:rPr>
      <w:rFonts w:ascii="Arial" w:hAnsi="Arial"/>
    </w:rPr>
    <w:tblPr>
      <w:tblStyleRowBandSize w:val="1"/>
      <w:tblBorders>
        <w:left w:val="single" w:sz="4" w:space="0" w:color="D9D9D9" w:themeColor="background1" w:themeShade="D9"/>
        <w:right w:val="single" w:sz="4" w:space="0" w:color="D9D9D9" w:themeColor="background1" w:themeShade="D9"/>
        <w:insideV w:val="single" w:sz="4" w:space="0" w:color="D9D9D9" w:themeColor="background1" w:themeShade="D9"/>
      </w:tblBorders>
    </w:tblPr>
    <w:tcPr>
      <w:shd w:val="clear" w:color="auto" w:fill="auto"/>
      <w:vAlign w:val="bottom"/>
    </w:tcPr>
    <w:tblStylePr w:type="firstRow">
      <w:rPr>
        <w:rFonts w:ascii="Arial" w:hAnsi="Arial"/>
        <w:color w:val="009FE3"/>
        <w:sz w:val="20"/>
      </w:rPr>
      <w:tblPr/>
      <w:tcPr>
        <w:tcBorders>
          <w:top w:val="nil"/>
          <w:left w:val="single" w:sz="4" w:space="0" w:color="D9D9D9" w:themeColor="background1" w:themeShade="D9"/>
          <w:bottom w:val="nil"/>
          <w:right w:val="single" w:sz="4" w:space="0" w:color="D9D9D9" w:themeColor="background1" w:themeShade="D9"/>
          <w:insideH w:val="single" w:sz="4" w:space="0" w:color="D9D9D9" w:themeColor="background1" w:themeShade="D9"/>
          <w:insideV w:val="single" w:sz="4" w:space="0" w:color="D9D9D9" w:themeColor="background1" w:themeShade="D9"/>
          <w:tl2br w:val="nil"/>
          <w:tr2bl w:val="nil"/>
        </w:tcBorders>
        <w:shd w:val="clear" w:color="auto" w:fill="auto"/>
      </w:tcPr>
    </w:tblStylePr>
    <w:tblStylePr w:type="lastRow">
      <w:rPr>
        <w:rFonts w:ascii="Arial" w:hAnsi="Arial"/>
        <w:caps/>
        <w:smallCaps w:val="0"/>
        <w:color w:val="7F7F7F"/>
        <w:sz w:val="16"/>
      </w:rPr>
      <w:tblPr/>
      <w:tcPr>
        <w:tcBorders>
          <w:bottom w:val="dotted" w:sz="4" w:space="0" w:color="0092D2"/>
        </w:tcBorders>
      </w:tcPr>
    </w:tblStylePr>
    <w:tblStylePr w:type="band1Horz">
      <w:tblPr/>
      <w:tcPr>
        <w:shd w:val="clear" w:color="auto" w:fill="F2F2F2" w:themeFill="background1" w:themeFillShade="F2"/>
      </w:tcPr>
    </w:tblStylePr>
  </w:style>
  <w:style w:type="paragraph" w:styleId="ListBullet">
    <w:name w:val="List Bullet"/>
    <w:aliases w:val="List_Bullet"/>
    <w:basedOn w:val="Normal"/>
    <w:rsid w:val="00B0454F"/>
    <w:pPr>
      <w:tabs>
        <w:tab w:val="num" w:pos="360"/>
      </w:tabs>
      <w:spacing w:before="0" w:after="160"/>
      <w:ind w:left="357" w:hanging="357"/>
    </w:pPr>
    <w:rPr>
      <w:color w:val="404040"/>
    </w:rPr>
  </w:style>
  <w:style w:type="paragraph" w:styleId="ListNumber">
    <w:name w:val="List Number"/>
    <w:aliases w:val="List_Number"/>
    <w:basedOn w:val="Normal"/>
    <w:rsid w:val="00B0454F"/>
    <w:pPr>
      <w:tabs>
        <w:tab w:val="num" w:pos="360"/>
      </w:tabs>
      <w:spacing w:before="0" w:after="160"/>
      <w:ind w:left="357" w:hanging="357"/>
    </w:pPr>
    <w:rPr>
      <w:color w:val="404040"/>
      <w:szCs w:val="24"/>
    </w:rPr>
  </w:style>
  <w:style w:type="paragraph" w:customStyle="1" w:styleId="UrbisTableHeading">
    <w:name w:val="Urbis_Table_Heading"/>
    <w:basedOn w:val="Normal"/>
    <w:qFormat/>
    <w:rsid w:val="00B0454F"/>
    <w:pPr>
      <w:spacing w:before="0" w:after="200" w:line="280" w:lineRule="exact"/>
    </w:pPr>
    <w:rPr>
      <w:b/>
      <w:color w:val="000000" w:themeColor="text1"/>
      <w:lang w:eastAsia="en-AU"/>
    </w:rPr>
  </w:style>
  <w:style w:type="paragraph" w:customStyle="1" w:styleId="UrbisTableBullet">
    <w:name w:val="Urbis_Table_Bullet"/>
    <w:basedOn w:val="Normal"/>
    <w:qFormat/>
    <w:rsid w:val="00B0454F"/>
    <w:pPr>
      <w:numPr>
        <w:numId w:val="12"/>
      </w:numPr>
      <w:spacing w:before="0" w:after="200" w:line="280" w:lineRule="exact"/>
    </w:pPr>
    <w:rPr>
      <w:color w:val="404040"/>
      <w:lang w:eastAsia="en-AU"/>
    </w:rPr>
  </w:style>
  <w:style w:type="paragraph" w:customStyle="1" w:styleId="Head30">
    <w:name w:val="Head3"/>
    <w:basedOn w:val="Normal"/>
    <w:next w:val="Normal"/>
    <w:qFormat/>
    <w:rsid w:val="00CD4CAF"/>
    <w:pPr>
      <w:spacing w:before="0" w:after="80"/>
    </w:pPr>
    <w:rPr>
      <w:rFonts w:cs="Courier New"/>
      <w:b/>
      <w:color w:val="000000" w:themeColor="text1"/>
      <w:sz w:val="26"/>
    </w:rPr>
  </w:style>
  <w:style w:type="paragraph" w:customStyle="1" w:styleId="UrbisTableText">
    <w:name w:val="Urbis_Table_Text"/>
    <w:basedOn w:val="Normal"/>
    <w:qFormat/>
    <w:rsid w:val="00CD4CAF"/>
    <w:pPr>
      <w:spacing w:before="0" w:after="200" w:line="280" w:lineRule="exact"/>
    </w:pPr>
    <w:rPr>
      <w:color w:val="404040"/>
      <w:lang w:eastAsia="en-AU"/>
    </w:rPr>
  </w:style>
  <w:style w:type="character" w:customStyle="1" w:styleId="Heading1Char">
    <w:name w:val="Heading 1 Char"/>
    <w:link w:val="Heading1"/>
    <w:uiPriority w:val="9"/>
    <w:rsid w:val="00CD4CAF"/>
    <w:rPr>
      <w:rFonts w:ascii="Arial" w:hAnsi="Arial" w:cs="Arial"/>
      <w:bCs/>
      <w:color w:val="00314D"/>
      <w:sz w:val="36"/>
      <w:szCs w:val="32"/>
      <w:lang w:eastAsia="en-US"/>
    </w:rPr>
  </w:style>
  <w:style w:type="character" w:customStyle="1" w:styleId="Heading2Char">
    <w:name w:val="Heading 2 Char"/>
    <w:aliases w:val="1.1 Char,2 Char,h2 Char,Question Char,h2 + 12 pt Char,Bold Char,Before:  24 pt Char,After:  3 pt Char"/>
    <w:link w:val="Heading2"/>
    <w:uiPriority w:val="9"/>
    <w:rsid w:val="00CD4CAF"/>
    <w:rPr>
      <w:rFonts w:ascii="Arial" w:hAnsi="Arial" w:cs="Arial"/>
      <w:b/>
      <w:bCs/>
      <w:iCs/>
      <w:color w:val="00314D"/>
      <w:sz w:val="28"/>
      <w:szCs w:val="28"/>
      <w:lang w:eastAsia="en-US"/>
    </w:rPr>
  </w:style>
  <w:style w:type="character" w:customStyle="1" w:styleId="Heading3Char">
    <w:name w:val="Heading 3 Char"/>
    <w:aliases w:val="1.1.1 Char,3 Char,h3 Char,Section Char,Sub-heading Char,H3 Char,Heading 31 Char,Sub-heading1 Char,3 bullet Char,b Char,No number Char"/>
    <w:link w:val="Heading3"/>
    <w:uiPriority w:val="9"/>
    <w:rsid w:val="00CD4CAF"/>
    <w:rPr>
      <w:rFonts w:ascii="Arial" w:hAnsi="Arial" w:cs="Arial"/>
      <w:b/>
      <w:bCs/>
      <w:color w:val="595959" w:themeColor="text1" w:themeTint="A6"/>
      <w:sz w:val="24"/>
      <w:szCs w:val="24"/>
      <w:lang w:eastAsia="en-US"/>
    </w:rPr>
  </w:style>
  <w:style w:type="character" w:customStyle="1" w:styleId="Heading4Char">
    <w:name w:val="Heading 4 Char"/>
    <w:aliases w:val="Level 2 - a Char"/>
    <w:link w:val="Heading4"/>
    <w:uiPriority w:val="9"/>
    <w:rsid w:val="00CD4CAF"/>
    <w:rPr>
      <w:rFonts w:ascii="Arial" w:hAnsi="Arial"/>
      <w:bCs/>
      <w:color w:val="595959" w:themeColor="text1" w:themeTint="A6"/>
      <w:szCs w:val="28"/>
      <w:lang w:eastAsia="en-US"/>
    </w:rPr>
  </w:style>
  <w:style w:type="character" w:customStyle="1" w:styleId="Heading5Char">
    <w:name w:val="Heading 5 Char"/>
    <w:link w:val="Heading5"/>
    <w:uiPriority w:val="9"/>
    <w:semiHidden/>
    <w:rsid w:val="00CD4CAF"/>
    <w:rPr>
      <w:rFonts w:ascii="Arial" w:hAnsi="Arial"/>
      <w:b/>
      <w:bCs/>
      <w:i/>
      <w:iCs/>
      <w:sz w:val="26"/>
      <w:szCs w:val="26"/>
      <w:lang w:eastAsia="en-US"/>
    </w:rPr>
  </w:style>
  <w:style w:type="character" w:customStyle="1" w:styleId="Heading6Char">
    <w:name w:val="Heading 6 Char"/>
    <w:link w:val="Heading6"/>
    <w:uiPriority w:val="9"/>
    <w:semiHidden/>
    <w:rsid w:val="00CD4CAF"/>
    <w:rPr>
      <w:b/>
      <w:bCs/>
      <w:sz w:val="22"/>
      <w:szCs w:val="22"/>
      <w:lang w:eastAsia="en-US"/>
    </w:rPr>
  </w:style>
  <w:style w:type="character" w:customStyle="1" w:styleId="Heading7Char">
    <w:name w:val="Heading 7 Char"/>
    <w:link w:val="Heading7"/>
    <w:uiPriority w:val="9"/>
    <w:semiHidden/>
    <w:rsid w:val="00CD4CAF"/>
    <w:rPr>
      <w:sz w:val="24"/>
      <w:szCs w:val="24"/>
      <w:lang w:eastAsia="en-US"/>
    </w:rPr>
  </w:style>
  <w:style w:type="character" w:customStyle="1" w:styleId="Heading8Char">
    <w:name w:val="Heading 8 Char"/>
    <w:link w:val="Heading8"/>
    <w:uiPriority w:val="9"/>
    <w:semiHidden/>
    <w:rsid w:val="00CD4CAF"/>
    <w:rPr>
      <w:i/>
      <w:iCs/>
      <w:sz w:val="24"/>
      <w:szCs w:val="24"/>
      <w:lang w:eastAsia="en-US"/>
    </w:rPr>
  </w:style>
  <w:style w:type="character" w:customStyle="1" w:styleId="Heading9Char">
    <w:name w:val="Heading 9 Char"/>
    <w:link w:val="Heading9"/>
    <w:uiPriority w:val="9"/>
    <w:semiHidden/>
    <w:rsid w:val="00CD4CAF"/>
    <w:rPr>
      <w:rFonts w:ascii="Arial" w:hAnsi="Arial" w:cs="Arial"/>
      <w:sz w:val="22"/>
      <w:szCs w:val="22"/>
      <w:lang w:eastAsia="en-US"/>
    </w:rPr>
  </w:style>
  <w:style w:type="character" w:customStyle="1" w:styleId="HeaderChar">
    <w:name w:val="Header Char"/>
    <w:basedOn w:val="DefaultParagraphFont"/>
    <w:link w:val="Header"/>
    <w:uiPriority w:val="99"/>
    <w:rsid w:val="00CD4CAF"/>
    <w:rPr>
      <w:rFonts w:ascii="Arial" w:hAnsi="Arial"/>
      <w:lang w:eastAsia="en-US"/>
    </w:rPr>
  </w:style>
  <w:style w:type="character" w:customStyle="1" w:styleId="BalloonTextChar">
    <w:name w:val="Balloon Text Char"/>
    <w:basedOn w:val="DefaultParagraphFont"/>
    <w:link w:val="BalloonText"/>
    <w:uiPriority w:val="99"/>
    <w:semiHidden/>
    <w:rsid w:val="00CD4CAF"/>
    <w:rPr>
      <w:rFonts w:ascii="Tahoma" w:hAnsi="Tahoma" w:cs="Tahoma"/>
      <w:sz w:val="16"/>
      <w:szCs w:val="16"/>
      <w:lang w:eastAsia="en-US"/>
    </w:rPr>
  </w:style>
  <w:style w:type="paragraph" w:styleId="Caption">
    <w:name w:val="caption"/>
    <w:basedOn w:val="Normal"/>
    <w:next w:val="Normal"/>
    <w:unhideWhenUsed/>
    <w:qFormat/>
    <w:rsid w:val="00CD4CAF"/>
    <w:pPr>
      <w:spacing w:before="0" w:after="160"/>
    </w:pPr>
    <w:rPr>
      <w:rFonts w:cs="Courier New"/>
      <w:b/>
      <w:bCs/>
      <w:color w:val="404040"/>
      <w:sz w:val="16"/>
      <w:szCs w:val="16"/>
    </w:rPr>
  </w:style>
  <w:style w:type="character" w:styleId="CommentReference">
    <w:name w:val="annotation reference"/>
    <w:basedOn w:val="DefaultParagraphFont"/>
    <w:uiPriority w:val="99"/>
    <w:unhideWhenUsed/>
    <w:rsid w:val="00CD4CAF"/>
    <w:rPr>
      <w:sz w:val="16"/>
      <w:szCs w:val="16"/>
    </w:rPr>
  </w:style>
  <w:style w:type="paragraph" w:styleId="CommentText">
    <w:name w:val="annotation text"/>
    <w:basedOn w:val="Normal"/>
    <w:link w:val="CommentTextChar"/>
    <w:uiPriority w:val="99"/>
    <w:unhideWhenUsed/>
    <w:rsid w:val="00CD4CAF"/>
    <w:pPr>
      <w:spacing w:before="0" w:after="160"/>
    </w:pPr>
    <w:rPr>
      <w:rFonts w:cs="Courier New"/>
      <w:color w:val="404040"/>
    </w:rPr>
  </w:style>
  <w:style w:type="character" w:customStyle="1" w:styleId="CommentTextChar">
    <w:name w:val="Comment Text Char"/>
    <w:basedOn w:val="DefaultParagraphFont"/>
    <w:link w:val="CommentText"/>
    <w:uiPriority w:val="99"/>
    <w:rsid w:val="00CD4CAF"/>
    <w:rPr>
      <w:rFonts w:ascii="Arial" w:hAnsi="Arial" w:cs="Courier New"/>
      <w:color w:val="404040"/>
      <w:lang w:eastAsia="en-US"/>
    </w:rPr>
  </w:style>
  <w:style w:type="paragraph" w:styleId="NoSpacing">
    <w:name w:val="No Spacing"/>
    <w:uiPriority w:val="1"/>
    <w:rsid w:val="00CD4CAF"/>
    <w:rPr>
      <w:rFonts w:ascii="Gotham-Light" w:hAnsi="Gotham-Light" w:cs="Courier New"/>
      <w:color w:val="343741"/>
      <w:sz w:val="21"/>
      <w:lang w:eastAsia="en-US"/>
    </w:rPr>
  </w:style>
  <w:style w:type="character" w:styleId="Strong">
    <w:name w:val="Strong"/>
    <w:uiPriority w:val="22"/>
    <w:rsid w:val="00CD4CAF"/>
    <w:rPr>
      <w:b/>
      <w:bCs/>
    </w:rPr>
  </w:style>
  <w:style w:type="paragraph" w:customStyle="1" w:styleId="ExecutiveSummary">
    <w:name w:val="Executive Summary"/>
    <w:basedOn w:val="Normal"/>
    <w:next w:val="Normal"/>
    <w:qFormat/>
    <w:rsid w:val="00CD4CAF"/>
    <w:pPr>
      <w:spacing w:before="0" w:after="160"/>
    </w:pPr>
    <w:rPr>
      <w:rFonts w:ascii="Flama Cond Bold" w:hAnsi="Flama Cond Bold" w:cs="Courier New"/>
      <w:caps/>
      <w:color w:val="000000" w:themeColor="text1"/>
      <w:sz w:val="48"/>
    </w:rPr>
  </w:style>
  <w:style w:type="paragraph" w:customStyle="1" w:styleId="Introduction">
    <w:name w:val="Introduction"/>
    <w:basedOn w:val="ExecutiveSummary"/>
    <w:next w:val="Normal"/>
    <w:qFormat/>
    <w:rsid w:val="00CD4CAF"/>
  </w:style>
  <w:style w:type="paragraph" w:customStyle="1" w:styleId="Head40">
    <w:name w:val="Head4"/>
    <w:basedOn w:val="Normal"/>
    <w:next w:val="Normal"/>
    <w:qFormat/>
    <w:rsid w:val="00CD4CAF"/>
    <w:pPr>
      <w:spacing w:before="0" w:after="60"/>
    </w:pPr>
    <w:rPr>
      <w:rFonts w:cs="Courier New"/>
      <w:b/>
      <w:color w:val="000000" w:themeColor="text1"/>
      <w:sz w:val="22"/>
    </w:rPr>
  </w:style>
  <w:style w:type="paragraph" w:customStyle="1" w:styleId="Appendix10">
    <w:name w:val="Appendix1"/>
    <w:basedOn w:val="Normal"/>
    <w:next w:val="Normal"/>
    <w:qFormat/>
    <w:rsid w:val="00CD4CAF"/>
    <w:pPr>
      <w:tabs>
        <w:tab w:val="num" w:pos="3402"/>
      </w:tabs>
      <w:spacing w:before="3000" w:after="120"/>
      <w:ind w:left="1701" w:hanging="1701"/>
      <w:outlineLvl w:val="0"/>
    </w:pPr>
    <w:rPr>
      <w:rFonts w:ascii="Flama Cond Bold" w:hAnsi="Flama Cond Bold" w:cs="Courier New"/>
      <w:caps/>
      <w:color w:val="404040"/>
      <w:sz w:val="48"/>
    </w:rPr>
  </w:style>
  <w:style w:type="paragraph" w:customStyle="1" w:styleId="CoverText">
    <w:name w:val="CoverText"/>
    <w:basedOn w:val="Normal"/>
    <w:qFormat/>
    <w:rsid w:val="00CD4CAF"/>
    <w:pPr>
      <w:spacing w:before="0" w:after="0"/>
    </w:pPr>
    <w:rPr>
      <w:rFonts w:cs="Courier New"/>
      <w:caps/>
      <w:color w:val="FFFFFF"/>
    </w:rPr>
  </w:style>
  <w:style w:type="paragraph" w:customStyle="1" w:styleId="UrbisDisclaimerTitle">
    <w:name w:val="Urbis Disclaimer Title"/>
    <w:basedOn w:val="UrbisDisclaimer"/>
    <w:rsid w:val="00CD4CAF"/>
  </w:style>
  <w:style w:type="paragraph" w:customStyle="1" w:styleId="aLettered">
    <w:name w:val="(a) Lettered"/>
    <w:basedOn w:val="BodyText"/>
    <w:rsid w:val="00CD4CAF"/>
    <w:pPr>
      <w:tabs>
        <w:tab w:val="num" w:pos="357"/>
      </w:tabs>
      <w:spacing w:after="240"/>
      <w:ind w:left="357" w:hanging="357"/>
    </w:pPr>
    <w:rPr>
      <w:iCs/>
      <w:color w:val="404040"/>
    </w:rPr>
  </w:style>
  <w:style w:type="character" w:customStyle="1" w:styleId="BodyTextChar">
    <w:name w:val="Body Text Char"/>
    <w:basedOn w:val="DefaultParagraphFont"/>
    <w:link w:val="BodyText"/>
    <w:uiPriority w:val="99"/>
    <w:semiHidden/>
    <w:rsid w:val="00CD4CAF"/>
    <w:rPr>
      <w:rFonts w:ascii="Arial" w:hAnsi="Arial"/>
      <w:lang w:eastAsia="en-US"/>
    </w:rPr>
  </w:style>
  <w:style w:type="paragraph" w:customStyle="1" w:styleId="FooterFileNameEven">
    <w:name w:val="Footer File Name Even"/>
    <w:rsid w:val="00CD4CAF"/>
    <w:pPr>
      <w:ind w:right="113"/>
      <w:jc w:val="right"/>
    </w:pPr>
    <w:rPr>
      <w:rFonts w:ascii="Arial" w:hAnsi="Arial"/>
      <w:caps/>
      <w:color w:val="404040"/>
      <w:sz w:val="12"/>
      <w:szCs w:val="12"/>
      <w:lang w:eastAsia="en-US"/>
    </w:rPr>
  </w:style>
  <w:style w:type="paragraph" w:customStyle="1" w:styleId="FooterSectionName">
    <w:name w:val="Footer Section Name"/>
    <w:link w:val="FooterSectionNameChar"/>
    <w:rsid w:val="00CD4CAF"/>
    <w:rPr>
      <w:rFonts w:ascii="Arial" w:hAnsi="Arial" w:cs="Arial"/>
      <w:caps/>
      <w:color w:val="404040"/>
      <w:sz w:val="12"/>
      <w:lang w:eastAsia="en-US"/>
    </w:rPr>
  </w:style>
  <w:style w:type="character" w:customStyle="1" w:styleId="FooterSectionNameChar">
    <w:name w:val="Footer Section Name Char"/>
    <w:basedOn w:val="DefaultParagraphFont"/>
    <w:link w:val="FooterSectionName"/>
    <w:rsid w:val="00CD4CAF"/>
    <w:rPr>
      <w:rFonts w:ascii="Arial" w:hAnsi="Arial" w:cs="Arial"/>
      <w:caps/>
      <w:color w:val="404040"/>
      <w:sz w:val="12"/>
      <w:lang w:eastAsia="en-US"/>
    </w:rPr>
  </w:style>
  <w:style w:type="paragraph" w:customStyle="1" w:styleId="LetteredLista">
    <w:name w:val="Lettered_List_a"/>
    <w:basedOn w:val="Normal"/>
    <w:next w:val="Normal"/>
    <w:rsid w:val="00CD4CAF"/>
    <w:pPr>
      <w:tabs>
        <w:tab w:val="num" w:pos="357"/>
      </w:tabs>
      <w:spacing w:before="0" w:after="160"/>
      <w:ind w:left="357" w:hanging="357"/>
    </w:pPr>
    <w:rPr>
      <w:color w:val="404040"/>
      <w:szCs w:val="24"/>
    </w:rPr>
  </w:style>
  <w:style w:type="paragraph" w:styleId="ListBullet2">
    <w:name w:val="List Bullet 2"/>
    <w:aliases w:val="List_Bullet_2"/>
    <w:basedOn w:val="Normal"/>
    <w:rsid w:val="00CD4CAF"/>
    <w:pPr>
      <w:tabs>
        <w:tab w:val="num" w:pos="714"/>
      </w:tabs>
      <w:spacing w:before="0" w:after="160"/>
      <w:ind w:left="714" w:hanging="357"/>
    </w:pPr>
    <w:rPr>
      <w:color w:val="404040"/>
    </w:rPr>
  </w:style>
  <w:style w:type="paragraph" w:styleId="ListBullet3">
    <w:name w:val="List Bullet 3"/>
    <w:aliases w:val="List_Bullet_3"/>
    <w:basedOn w:val="Normal"/>
    <w:rsid w:val="00CD4CAF"/>
    <w:pPr>
      <w:tabs>
        <w:tab w:val="num" w:pos="1072"/>
      </w:tabs>
      <w:spacing w:before="0" w:after="160"/>
      <w:ind w:left="1071" w:hanging="357"/>
    </w:pPr>
    <w:rPr>
      <w:color w:val="404040"/>
    </w:rPr>
  </w:style>
  <w:style w:type="paragraph" w:styleId="ListBullet4">
    <w:name w:val="List Bullet 4"/>
    <w:aliases w:val="List_Bullet_4"/>
    <w:basedOn w:val="Normal"/>
    <w:rsid w:val="00CD4CAF"/>
    <w:pPr>
      <w:tabs>
        <w:tab w:val="num" w:pos="1429"/>
      </w:tabs>
      <w:spacing w:before="0" w:after="160"/>
      <w:ind w:left="1429" w:hanging="357"/>
    </w:pPr>
    <w:rPr>
      <w:color w:val="404040"/>
    </w:rPr>
  </w:style>
  <w:style w:type="paragraph" w:customStyle="1" w:styleId="PageNumber0">
    <w:name w:val="Page_Number"/>
    <w:basedOn w:val="Footer"/>
    <w:qFormat/>
    <w:rsid w:val="00CD4CAF"/>
    <w:pPr>
      <w:tabs>
        <w:tab w:val="clear" w:pos="4320"/>
        <w:tab w:val="clear" w:pos="8640"/>
        <w:tab w:val="center" w:pos="4513"/>
        <w:tab w:val="right" w:pos="9026"/>
      </w:tabs>
    </w:pPr>
    <w:rPr>
      <w:rFonts w:cs="Courier New"/>
      <w:color w:val="404040"/>
      <w:sz w:val="28"/>
      <w:szCs w:val="20"/>
    </w:rPr>
  </w:style>
  <w:style w:type="paragraph" w:customStyle="1" w:styleId="SectionNameLeft">
    <w:name w:val="Section Name Left"/>
    <w:link w:val="SectionNameLeftChar"/>
    <w:rsid w:val="00CD4CAF"/>
    <w:rPr>
      <w:rFonts w:ascii="Arial" w:hAnsi="Arial" w:cs="Arial"/>
      <w:caps/>
      <w:color w:val="404040"/>
      <w:sz w:val="12"/>
      <w:szCs w:val="16"/>
      <w:lang w:eastAsia="en-US"/>
    </w:rPr>
  </w:style>
  <w:style w:type="character" w:customStyle="1" w:styleId="SectionNameLeftChar">
    <w:name w:val="Section Name Left Char"/>
    <w:basedOn w:val="DefaultParagraphFont"/>
    <w:link w:val="SectionNameLeft"/>
    <w:rsid w:val="00CD4CAF"/>
    <w:rPr>
      <w:rFonts w:ascii="Arial" w:hAnsi="Arial" w:cs="Arial"/>
      <w:caps/>
      <w:color w:val="404040"/>
      <w:sz w:val="12"/>
      <w:szCs w:val="16"/>
      <w:lang w:eastAsia="en-US"/>
    </w:rPr>
  </w:style>
  <w:style w:type="paragraph" w:customStyle="1" w:styleId="SectionNameRight">
    <w:name w:val="Section Name Right"/>
    <w:link w:val="SectionNameRightCharChar"/>
    <w:rsid w:val="00CD4CAF"/>
    <w:pPr>
      <w:jc w:val="right"/>
    </w:pPr>
    <w:rPr>
      <w:rFonts w:ascii="Arial" w:hAnsi="Arial" w:cs="Arial"/>
      <w:caps/>
      <w:color w:val="404040"/>
      <w:sz w:val="12"/>
      <w:szCs w:val="16"/>
      <w:lang w:eastAsia="en-US"/>
    </w:rPr>
  </w:style>
  <w:style w:type="character" w:customStyle="1" w:styleId="SectionNameRightCharChar">
    <w:name w:val="Section Name Right Char Char"/>
    <w:link w:val="SectionNameRight"/>
    <w:rsid w:val="00CD4CAF"/>
    <w:rPr>
      <w:rFonts w:ascii="Arial" w:hAnsi="Arial" w:cs="Arial"/>
      <w:caps/>
      <w:color w:val="404040"/>
      <w:sz w:val="12"/>
      <w:szCs w:val="16"/>
      <w:lang w:eastAsia="en-US"/>
    </w:rPr>
  </w:style>
  <w:style w:type="paragraph" w:customStyle="1" w:styleId="Appendix20">
    <w:name w:val="Appendix2"/>
    <w:basedOn w:val="Appendix10"/>
    <w:next w:val="Normal"/>
    <w:rsid w:val="00CD4CAF"/>
  </w:style>
  <w:style w:type="paragraph" w:customStyle="1" w:styleId="Appendix30">
    <w:name w:val="Appendix3"/>
    <w:basedOn w:val="Appendix20"/>
    <w:next w:val="Normal"/>
    <w:link w:val="Appendix3Char0"/>
    <w:rsid w:val="00CD4CAF"/>
    <w:pPr>
      <w:keepNext/>
      <w:tabs>
        <w:tab w:val="left" w:pos="2183"/>
      </w:tabs>
      <w:spacing w:before="300"/>
      <w:outlineLvl w:val="9"/>
    </w:pPr>
    <w:rPr>
      <w:rFonts w:ascii="Arial" w:hAnsi="Arial" w:cs="Times New Roman"/>
      <w:b/>
      <w:color w:val="000000" w:themeColor="text1"/>
      <w:sz w:val="24"/>
      <w:szCs w:val="48"/>
    </w:rPr>
  </w:style>
  <w:style w:type="character" w:customStyle="1" w:styleId="Appendix3Char0">
    <w:name w:val="Appendix3 Char"/>
    <w:link w:val="Appendix30"/>
    <w:rsid w:val="00CD4CAF"/>
    <w:rPr>
      <w:rFonts w:ascii="Arial" w:hAnsi="Arial"/>
      <w:b/>
      <w:caps/>
      <w:color w:val="000000" w:themeColor="text1"/>
      <w:sz w:val="24"/>
      <w:szCs w:val="48"/>
      <w:lang w:eastAsia="en-US"/>
    </w:rPr>
  </w:style>
  <w:style w:type="paragraph" w:customStyle="1" w:styleId="Appendix40">
    <w:name w:val="Appendix4"/>
    <w:basedOn w:val="Appendix30"/>
    <w:next w:val="Normal"/>
    <w:rsid w:val="00CD4CAF"/>
    <w:pPr>
      <w:tabs>
        <w:tab w:val="clear" w:pos="3402"/>
        <w:tab w:val="num" w:pos="2880"/>
      </w:tabs>
      <w:ind w:left="2880" w:hanging="360"/>
    </w:pPr>
    <w:rPr>
      <w:sz w:val="22"/>
    </w:rPr>
  </w:style>
  <w:style w:type="paragraph" w:customStyle="1" w:styleId="NormalNumbered">
    <w:name w:val="Normal_Numbered"/>
    <w:basedOn w:val="Normal"/>
    <w:rsid w:val="00CD4CAF"/>
    <w:pPr>
      <w:tabs>
        <w:tab w:val="num" w:pos="714"/>
      </w:tabs>
      <w:ind w:left="714" w:hanging="714"/>
    </w:pPr>
  </w:style>
  <w:style w:type="paragraph" w:customStyle="1" w:styleId="HangingQuote">
    <w:name w:val="Hanging_Quote"/>
    <w:basedOn w:val="Normal"/>
    <w:rsid w:val="00CD4CAF"/>
    <w:pPr>
      <w:spacing w:before="180"/>
      <w:ind w:left="567" w:right="675"/>
    </w:pPr>
    <w:rPr>
      <w:i/>
      <w:color w:val="000000"/>
      <w:szCs w:val="24"/>
    </w:rPr>
  </w:style>
  <w:style w:type="table" w:styleId="LightShading">
    <w:name w:val="Light Shading"/>
    <w:basedOn w:val="TableNormal"/>
    <w:uiPriority w:val="60"/>
    <w:rsid w:val="00CD4CAF"/>
    <w:rPr>
      <w:rFonts w:ascii="Arial" w:hAnsi="Arial" w:cs="Courier New"/>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mageSource">
    <w:name w:val="Image Source"/>
    <w:basedOn w:val="Normal"/>
    <w:qFormat/>
    <w:rsid w:val="00CD4CAF"/>
    <w:pPr>
      <w:spacing w:before="0" w:after="160"/>
    </w:pPr>
    <w:rPr>
      <w:rFonts w:cs="Courier New"/>
      <w:i/>
      <w:color w:val="404040"/>
      <w:sz w:val="18"/>
    </w:rPr>
  </w:style>
  <w:style w:type="paragraph" w:styleId="CommentSubject">
    <w:name w:val="annotation subject"/>
    <w:basedOn w:val="CommentText"/>
    <w:next w:val="CommentText"/>
    <w:link w:val="CommentSubjectChar"/>
    <w:uiPriority w:val="99"/>
    <w:unhideWhenUsed/>
    <w:rsid w:val="00CD4CAF"/>
    <w:rPr>
      <w:b/>
      <w:bCs/>
    </w:rPr>
  </w:style>
  <w:style w:type="character" w:customStyle="1" w:styleId="CommentSubjectChar">
    <w:name w:val="Comment Subject Char"/>
    <w:basedOn w:val="CommentTextChar"/>
    <w:link w:val="CommentSubject"/>
    <w:uiPriority w:val="99"/>
    <w:rsid w:val="00CD4CAF"/>
    <w:rPr>
      <w:rFonts w:ascii="Arial" w:hAnsi="Arial" w:cs="Courier New"/>
      <w:b/>
      <w:bCs/>
      <w:color w:val="404040"/>
      <w:lang w:eastAsia="en-US"/>
    </w:rPr>
  </w:style>
  <w:style w:type="paragraph" w:customStyle="1" w:styleId="Head4no">
    <w:name w:val="Head 4 (no #)"/>
    <w:basedOn w:val="Normal"/>
    <w:next w:val="Normal"/>
    <w:rsid w:val="00CD4CAF"/>
    <w:pPr>
      <w:keepNext/>
      <w:spacing w:before="180" w:after="60"/>
    </w:pPr>
    <w:rPr>
      <w:caps/>
      <w:color w:val="666666"/>
      <w:sz w:val="22"/>
      <w:szCs w:val="22"/>
    </w:rPr>
  </w:style>
  <w:style w:type="paragraph" w:customStyle="1" w:styleId="Default">
    <w:name w:val="Default"/>
    <w:rsid w:val="00CD4CAF"/>
    <w:pPr>
      <w:autoSpaceDE w:val="0"/>
      <w:autoSpaceDN w:val="0"/>
      <w:adjustRightInd w:val="0"/>
    </w:pPr>
    <w:rPr>
      <w:rFonts w:ascii="Calibri" w:hAnsi="Calibri" w:cs="Calibri"/>
      <w:color w:val="000000"/>
      <w:sz w:val="24"/>
      <w:szCs w:val="24"/>
      <w:lang w:eastAsia="en-US"/>
    </w:rPr>
  </w:style>
  <w:style w:type="paragraph" w:styleId="Bibliography">
    <w:name w:val="Bibliography"/>
    <w:basedOn w:val="Normal"/>
    <w:next w:val="Normal"/>
    <w:uiPriority w:val="37"/>
    <w:unhideWhenUsed/>
    <w:rsid w:val="00CD4CAF"/>
    <w:pPr>
      <w:spacing w:before="0" w:after="160"/>
    </w:pPr>
    <w:rPr>
      <w:rFonts w:cs="Courier New"/>
      <w:color w:val="404040"/>
    </w:rPr>
  </w:style>
  <w:style w:type="paragraph" w:customStyle="1" w:styleId="EndNoteBibliography">
    <w:name w:val="EndNote Bibliography"/>
    <w:basedOn w:val="Normal"/>
    <w:link w:val="EndNoteBibliographyChar"/>
    <w:rsid w:val="00CD4CAF"/>
    <w:rPr>
      <w:rFonts w:cs="Arial"/>
      <w:noProof/>
      <w:lang w:val="en-US"/>
    </w:rPr>
  </w:style>
  <w:style w:type="character" w:customStyle="1" w:styleId="EndNoteBibliographyChar">
    <w:name w:val="EndNote Bibliography Char"/>
    <w:basedOn w:val="DefaultParagraphFont"/>
    <w:link w:val="EndNoteBibliography"/>
    <w:rsid w:val="00CD4CAF"/>
    <w:rPr>
      <w:rFonts w:ascii="Arial" w:hAnsi="Arial" w:cs="Arial"/>
      <w:noProof/>
      <w:lang w:val="en-US" w:eastAsia="en-US"/>
    </w:rPr>
  </w:style>
  <w:style w:type="character" w:customStyle="1" w:styleId="apple-converted-space">
    <w:name w:val="apple-converted-space"/>
    <w:basedOn w:val="DefaultParagraphFont"/>
    <w:rsid w:val="00CD4CAF"/>
  </w:style>
  <w:style w:type="table" w:customStyle="1" w:styleId="TableGrid10">
    <w:name w:val="Table Grid1"/>
    <w:basedOn w:val="TableNormal"/>
    <w:next w:val="TableGrid"/>
    <w:rsid w:val="00CD4CAF"/>
    <w:pPr>
      <w:spacing w:after="200" w:line="280" w:lineRule="exact"/>
      <w:ind w:left="108"/>
    </w:pPr>
    <w:rPr>
      <w:rFonts w:ascii="Arial" w:hAnsi="Arial"/>
      <w:sz w:val="18"/>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caps/>
        <w:smallCaps w:val="0"/>
        <w:strike w:val="0"/>
        <w:dstrike w:val="0"/>
        <w:vanish w:val="0"/>
        <w:color w:val="009FE3"/>
        <w:sz w:val="18"/>
        <w:vertAlign w:val="baseline"/>
      </w:rPr>
    </w:tblStylePr>
    <w:tblStylePr w:type="band1Horz">
      <w:tblPr/>
      <w:tcPr>
        <w:shd w:val="clear" w:color="auto" w:fill="F3F3F3"/>
      </w:tcPr>
    </w:tblStylePr>
  </w:style>
  <w:style w:type="paragraph" w:styleId="Revision">
    <w:name w:val="Revision"/>
    <w:hidden/>
    <w:uiPriority w:val="99"/>
    <w:semiHidden/>
    <w:rsid w:val="00D14BF8"/>
    <w:rPr>
      <w:rFonts w:ascii="Arial" w:hAnsi="Arial" w:cs="Courier New"/>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table of figures" w:uiPriority="99" w:qFormat="1"/>
    <w:lsdException w:name="annotation reference" w:uiPriority="99"/>
    <w:lsdException w:name="List Bullet" w:qFormat="1"/>
    <w:lsdException w:name="List Bullet 2" w:qFormat="1"/>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27F4"/>
    <w:pPr>
      <w:spacing w:before="60" w:after="240"/>
    </w:pPr>
    <w:rPr>
      <w:rFonts w:ascii="Arial" w:hAnsi="Arial"/>
      <w:lang w:eastAsia="en-US"/>
    </w:rPr>
  </w:style>
  <w:style w:type="paragraph" w:styleId="Heading1">
    <w:name w:val="heading 1"/>
    <w:basedOn w:val="Normal"/>
    <w:next w:val="Normal"/>
    <w:link w:val="Heading1Char"/>
    <w:uiPriority w:val="9"/>
    <w:qFormat/>
    <w:rsid w:val="00095E2D"/>
    <w:pPr>
      <w:keepNext/>
      <w:pageBreakBefore/>
      <w:numPr>
        <w:numId w:val="9"/>
      </w:numPr>
      <w:spacing w:before="120"/>
      <w:contextualSpacing/>
      <w:outlineLvl w:val="0"/>
    </w:pPr>
    <w:rPr>
      <w:rFonts w:cs="Arial"/>
      <w:bCs/>
      <w:color w:val="00314D"/>
      <w:sz w:val="36"/>
      <w:szCs w:val="32"/>
    </w:rPr>
  </w:style>
  <w:style w:type="paragraph" w:styleId="Heading2">
    <w:name w:val="heading 2"/>
    <w:aliases w:val="1.1,2,h2,Question,h2 + 12 pt,Bold,Before:  24 pt,After:  3 pt"/>
    <w:basedOn w:val="Normal"/>
    <w:next w:val="Normal"/>
    <w:link w:val="Heading2Char"/>
    <w:uiPriority w:val="9"/>
    <w:qFormat/>
    <w:rsid w:val="00095E2D"/>
    <w:pPr>
      <w:keepNext/>
      <w:numPr>
        <w:ilvl w:val="1"/>
        <w:numId w:val="9"/>
      </w:numPr>
      <w:spacing w:before="400" w:after="120"/>
      <w:outlineLvl w:val="1"/>
    </w:pPr>
    <w:rPr>
      <w:rFonts w:cs="Arial"/>
      <w:b/>
      <w:bCs/>
      <w:iCs/>
      <w:color w:val="00314D"/>
      <w:sz w:val="28"/>
      <w:szCs w:val="28"/>
    </w:rPr>
  </w:style>
  <w:style w:type="paragraph" w:styleId="Heading3">
    <w:name w:val="heading 3"/>
    <w:aliases w:val="1.1.1,3,h3,Section,Sub-heading,H3,Heading 31,Sub-heading1,3 bullet,b,No number"/>
    <w:basedOn w:val="Normal"/>
    <w:next w:val="Normal"/>
    <w:link w:val="Heading3Char"/>
    <w:uiPriority w:val="9"/>
    <w:qFormat/>
    <w:rsid w:val="00EC7915"/>
    <w:pPr>
      <w:keepNext/>
      <w:numPr>
        <w:ilvl w:val="2"/>
        <w:numId w:val="9"/>
      </w:numPr>
      <w:spacing w:before="300" w:after="120"/>
      <w:outlineLvl w:val="2"/>
    </w:pPr>
    <w:rPr>
      <w:rFonts w:cs="Arial"/>
      <w:b/>
      <w:bCs/>
      <w:color w:val="595959" w:themeColor="text1" w:themeTint="A6"/>
      <w:sz w:val="24"/>
      <w:szCs w:val="24"/>
    </w:rPr>
  </w:style>
  <w:style w:type="paragraph" w:styleId="Heading4">
    <w:name w:val="heading 4"/>
    <w:aliases w:val="Level 2 - a"/>
    <w:basedOn w:val="Normal"/>
    <w:next w:val="Normal"/>
    <w:link w:val="Heading4Char"/>
    <w:uiPriority w:val="9"/>
    <w:qFormat/>
    <w:rsid w:val="00EC7915"/>
    <w:pPr>
      <w:keepNext/>
      <w:numPr>
        <w:ilvl w:val="3"/>
        <w:numId w:val="9"/>
      </w:numPr>
      <w:spacing w:before="180" w:after="60"/>
      <w:outlineLvl w:val="3"/>
    </w:pPr>
    <w:rPr>
      <w:bCs/>
      <w:color w:val="595959" w:themeColor="text1" w:themeTint="A6"/>
      <w:szCs w:val="28"/>
    </w:rPr>
  </w:style>
  <w:style w:type="paragraph" w:styleId="Heading5">
    <w:name w:val="heading 5"/>
    <w:basedOn w:val="Normal"/>
    <w:next w:val="Normal"/>
    <w:link w:val="Heading5Char"/>
    <w:uiPriority w:val="9"/>
    <w:semiHidden/>
    <w:qFormat/>
    <w:rsid w:val="00E16895"/>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E16895"/>
    <w:pPr>
      <w:numPr>
        <w:ilvl w:val="5"/>
        <w:numId w:val="9"/>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qFormat/>
    <w:rsid w:val="00E16895"/>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semiHidden/>
    <w:qFormat/>
    <w:rsid w:val="00E16895"/>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semiHidden/>
    <w:qFormat/>
    <w:rsid w:val="00E1689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2A2"/>
    <w:pPr>
      <w:spacing w:before="0" w:after="0"/>
    </w:pPr>
  </w:style>
  <w:style w:type="paragraph" w:styleId="Footer">
    <w:name w:val="footer"/>
    <w:link w:val="FooterChar"/>
    <w:rsid w:val="00370892"/>
    <w:pPr>
      <w:tabs>
        <w:tab w:val="center" w:pos="4320"/>
        <w:tab w:val="right" w:pos="8640"/>
      </w:tabs>
    </w:pPr>
    <w:rPr>
      <w:rFonts w:ascii="Arial" w:hAnsi="Arial"/>
      <w:sz w:val="16"/>
      <w:szCs w:val="16"/>
      <w:lang w:eastAsia="en-US"/>
    </w:rPr>
  </w:style>
  <w:style w:type="table" w:styleId="TableGrid">
    <w:name w:val="Table Grid"/>
    <w:basedOn w:val="TableNormal"/>
    <w:rsid w:val="00505F57"/>
    <w:pPr>
      <w:spacing w:after="200" w:line="280" w:lineRule="exact"/>
      <w:ind w:left="108"/>
    </w:pPr>
    <w:rPr>
      <w:rFonts w:ascii="Arial" w:hAnsi="Arial"/>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b/>
        <w:caps w:val="0"/>
        <w:smallCaps w:val="0"/>
        <w:strike w:val="0"/>
        <w:dstrike w:val="0"/>
        <w:vanish w:val="0"/>
        <w:color w:val="00314D"/>
        <w:sz w:val="20"/>
        <w:vertAlign w:val="baseline"/>
      </w:rPr>
    </w:tblStyle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uiPriority w:val="39"/>
    <w:qFormat/>
    <w:rsid w:val="00B521E4"/>
    <w:pPr>
      <w:tabs>
        <w:tab w:val="right" w:leader="dot" w:pos="9356"/>
      </w:tabs>
      <w:spacing w:before="240" w:after="40"/>
      <w:ind w:left="658" w:hanging="658"/>
    </w:pPr>
    <w:rPr>
      <w:b/>
      <w:noProof/>
      <w:szCs w:val="24"/>
    </w:rPr>
  </w:style>
  <w:style w:type="character" w:customStyle="1" w:styleId="UrbisClientCompanyC">
    <w:name w:val="Urbis Client Company_C"/>
    <w:semiHidden/>
    <w:rsid w:val="00475FCF"/>
    <w:rPr>
      <w:rFonts w:ascii="Arial" w:hAnsi="Arial"/>
      <w:color w:val="000080"/>
      <w:sz w:val="30"/>
    </w:rPr>
  </w:style>
  <w:style w:type="paragraph" w:customStyle="1" w:styleId="DisclaimerPadding">
    <w:name w:val="Disclaimer Padding"/>
    <w:basedOn w:val="Normal"/>
    <w:rsid w:val="006F0C5D"/>
    <w:pPr>
      <w:spacing w:before="0" w:after="6240"/>
    </w:pPr>
  </w:style>
  <w:style w:type="paragraph" w:styleId="BodyText">
    <w:name w:val="Body Text"/>
    <w:basedOn w:val="Normal"/>
    <w:link w:val="BodyTextChar"/>
    <w:uiPriority w:val="99"/>
    <w:semiHidden/>
    <w:rsid w:val="00C769DD"/>
    <w:pPr>
      <w:spacing w:after="120"/>
    </w:pPr>
  </w:style>
  <w:style w:type="paragraph" w:customStyle="1" w:styleId="Appendix2">
    <w:name w:val="Appendix 2"/>
    <w:basedOn w:val="Appendix1"/>
    <w:next w:val="Normal"/>
    <w:rsid w:val="00D3791F"/>
    <w:pPr>
      <w:pageBreakBefore w:val="0"/>
      <w:numPr>
        <w:ilvl w:val="1"/>
      </w:numPr>
      <w:spacing w:before="400"/>
      <w:outlineLvl w:val="9"/>
    </w:pPr>
    <w:rPr>
      <w:color w:val="595959" w:themeColor="text1" w:themeTint="A6"/>
      <w:sz w:val="26"/>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uiPriority w:val="39"/>
    <w:qFormat/>
    <w:rsid w:val="006C3C55"/>
    <w:pPr>
      <w:spacing w:after="40"/>
      <w:ind w:left="658" w:hanging="658"/>
    </w:pPr>
    <w:rPr>
      <w:rFonts w:cs="Arial"/>
      <w:noProof/>
    </w:rPr>
  </w:style>
  <w:style w:type="paragraph" w:styleId="TOC3">
    <w:name w:val="toc 3"/>
    <w:basedOn w:val="Normal"/>
    <w:next w:val="Normal"/>
    <w:uiPriority w:val="39"/>
    <w:qFormat/>
    <w:rsid w:val="006C3C55"/>
    <w:pPr>
      <w:spacing w:before="0" w:after="40"/>
      <w:ind w:left="658" w:hanging="658"/>
    </w:pPr>
  </w:style>
  <w:style w:type="paragraph" w:customStyle="1" w:styleId="Appendix4">
    <w:name w:val="Appendix 4"/>
    <w:basedOn w:val="Appendix3"/>
    <w:next w:val="Normal"/>
    <w:rsid w:val="0028359A"/>
    <w:pPr>
      <w:numPr>
        <w:ilvl w:val="3"/>
      </w:numPr>
    </w:pPr>
    <w:rPr>
      <w:sz w:val="22"/>
    </w:rPr>
  </w:style>
  <w:style w:type="paragraph" w:styleId="TableofFigures">
    <w:name w:val="table of figures"/>
    <w:basedOn w:val="Normal"/>
    <w:next w:val="Normal"/>
    <w:autoRedefine/>
    <w:uiPriority w:val="99"/>
    <w:qFormat/>
    <w:rsid w:val="005D23E7"/>
    <w:pPr>
      <w:widowControl w:val="0"/>
      <w:tabs>
        <w:tab w:val="right" w:leader="dot" w:pos="9356"/>
        <w:tab w:val="right" w:leader="dot" w:pos="10773"/>
      </w:tabs>
      <w:spacing w:before="0" w:after="60"/>
      <w:ind w:left="964" w:hanging="964"/>
    </w:pPr>
    <w:rPr>
      <w:szCs w:val="18"/>
    </w:rPr>
  </w:style>
  <w:style w:type="paragraph" w:customStyle="1" w:styleId="TOCSubheadings">
    <w:name w:val="TOC Subheadings"/>
    <w:basedOn w:val="Normal"/>
    <w:rsid w:val="00633178"/>
    <w:pPr>
      <w:spacing w:before="0" w:after="60"/>
    </w:pPr>
    <w:rPr>
      <w:rFonts w:ascii="Arial Bold" w:hAnsi="Arial Bold"/>
      <w:b/>
      <w:color w:val="000000"/>
    </w:rPr>
  </w:style>
  <w:style w:type="paragraph" w:customStyle="1" w:styleId="UrbisPhotoCell">
    <w:name w:val="Urbis Photo Cell"/>
    <w:basedOn w:val="Normal"/>
    <w:semiHidden/>
    <w:rsid w:val="00E20C92"/>
    <w:pPr>
      <w:spacing w:before="0"/>
    </w:pPr>
  </w:style>
  <w:style w:type="paragraph" w:customStyle="1" w:styleId="FooterFileName">
    <w:name w:val="Footer File Name"/>
    <w:rsid w:val="00E41B75"/>
    <w:rPr>
      <w:rFonts w:ascii="Arial" w:hAnsi="Arial"/>
      <w:color w:val="595959" w:themeColor="text1" w:themeTint="A6"/>
      <w:sz w:val="18"/>
      <w:szCs w:val="12"/>
      <w:lang w:eastAsia="en-US"/>
    </w:rPr>
  </w:style>
  <w:style w:type="numbering" w:styleId="111111">
    <w:name w:val="Outline List 2"/>
    <w:basedOn w:val="NoList"/>
    <w:semiHidden/>
    <w:rsid w:val="00516E2A"/>
    <w:pPr>
      <w:numPr>
        <w:numId w:val="6"/>
      </w:numPr>
    </w:pPr>
  </w:style>
  <w:style w:type="numbering" w:styleId="1ai">
    <w:name w:val="Outline List 1"/>
    <w:basedOn w:val="NoList"/>
    <w:semiHidden/>
    <w:rsid w:val="00516E2A"/>
    <w:pPr>
      <w:numPr>
        <w:numId w:val="7"/>
      </w:numPr>
    </w:pPr>
  </w:style>
  <w:style w:type="numbering" w:styleId="ArticleSection">
    <w:name w:val="Outline List 3"/>
    <w:basedOn w:val="NoList"/>
    <w:semiHidden/>
    <w:rsid w:val="00516E2A"/>
    <w:pPr>
      <w:numPr>
        <w:numId w:val="8"/>
      </w:numPr>
    </w:pPr>
  </w:style>
  <w:style w:type="paragraph" w:styleId="BlockText">
    <w:name w:val="Block Text"/>
    <w:basedOn w:val="Normal"/>
    <w:semiHidden/>
    <w:rsid w:val="00516E2A"/>
    <w:pPr>
      <w:spacing w:after="120"/>
      <w:ind w:left="1440" w:right="1440"/>
    </w:pPr>
  </w:style>
  <w:style w:type="paragraph" w:styleId="BodyText2">
    <w:name w:val="Body Text 2"/>
    <w:basedOn w:val="Normal"/>
    <w:semiHidden/>
    <w:rsid w:val="00516E2A"/>
    <w:pPr>
      <w:spacing w:after="120" w:line="480" w:lineRule="auto"/>
    </w:pPr>
  </w:style>
  <w:style w:type="paragraph" w:styleId="BodyText3">
    <w:name w:val="Body Text 3"/>
    <w:basedOn w:val="Normal"/>
    <w:semiHidden/>
    <w:rsid w:val="00516E2A"/>
    <w:pPr>
      <w:spacing w:after="120"/>
    </w:pPr>
    <w:rPr>
      <w:sz w:val="16"/>
      <w:szCs w:val="16"/>
    </w:rPr>
  </w:style>
  <w:style w:type="paragraph" w:styleId="BodyTextFirstIndent">
    <w:name w:val="Body Text First Indent"/>
    <w:basedOn w:val="BodyText"/>
    <w:semiHidden/>
    <w:rsid w:val="00516E2A"/>
    <w:pPr>
      <w:ind w:firstLine="210"/>
    </w:pPr>
  </w:style>
  <w:style w:type="paragraph" w:styleId="BodyTextIndent">
    <w:name w:val="Body Text Indent"/>
    <w:basedOn w:val="Normal"/>
    <w:semiHidden/>
    <w:rsid w:val="00516E2A"/>
    <w:pPr>
      <w:spacing w:after="120"/>
      <w:ind w:left="283"/>
    </w:pPr>
  </w:style>
  <w:style w:type="paragraph" w:styleId="BodyTextFirstIndent2">
    <w:name w:val="Body Text First Indent 2"/>
    <w:basedOn w:val="BodyTextIndent"/>
    <w:semiHidden/>
    <w:rsid w:val="00516E2A"/>
    <w:pPr>
      <w:ind w:firstLine="210"/>
    </w:pPr>
  </w:style>
  <w:style w:type="paragraph" w:styleId="BodyTextIndent2">
    <w:name w:val="Body Text Indent 2"/>
    <w:basedOn w:val="Normal"/>
    <w:semiHidden/>
    <w:rsid w:val="00516E2A"/>
    <w:pPr>
      <w:spacing w:after="120" w:line="480" w:lineRule="auto"/>
      <w:ind w:left="283"/>
    </w:pPr>
  </w:style>
  <w:style w:type="paragraph" w:styleId="BodyTextIndent3">
    <w:name w:val="Body Text Indent 3"/>
    <w:basedOn w:val="Normal"/>
    <w:semiHidden/>
    <w:rsid w:val="00516E2A"/>
    <w:pPr>
      <w:spacing w:after="120"/>
      <w:ind w:left="283"/>
    </w:pPr>
    <w:rPr>
      <w:sz w:val="16"/>
      <w:szCs w:val="16"/>
    </w:rPr>
  </w:style>
  <w:style w:type="paragraph" w:styleId="Closing">
    <w:name w:val="Closing"/>
    <w:basedOn w:val="Normal"/>
    <w:semiHidden/>
    <w:rsid w:val="00516E2A"/>
    <w:pPr>
      <w:ind w:left="4252"/>
    </w:pPr>
  </w:style>
  <w:style w:type="paragraph" w:styleId="Date">
    <w:name w:val="Date"/>
    <w:basedOn w:val="Normal"/>
    <w:next w:val="Normal"/>
    <w:semiHidden/>
    <w:rsid w:val="00516E2A"/>
  </w:style>
  <w:style w:type="paragraph" w:styleId="E-mailSignature">
    <w:name w:val="E-mail Signature"/>
    <w:basedOn w:val="Normal"/>
    <w:semiHidden/>
    <w:rsid w:val="00516E2A"/>
  </w:style>
  <w:style w:type="character" w:styleId="Emphasis">
    <w:name w:val="Emphasis"/>
    <w:uiPriority w:val="20"/>
    <w:rsid w:val="00516E2A"/>
    <w:rPr>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uiPriority w:val="99"/>
    <w:semiHidden/>
    <w:rsid w:val="00516E2A"/>
    <w:rPr>
      <w:color w:val="800080"/>
      <w:u w:val="single"/>
    </w:rPr>
  </w:style>
  <w:style w:type="character" w:styleId="HTMLAcronym">
    <w:name w:val="HTML Acronym"/>
    <w:basedOn w:val="DefaultParagraphFont"/>
    <w:semiHidden/>
    <w:rsid w:val="00516E2A"/>
  </w:style>
  <w:style w:type="paragraph" w:styleId="HTMLAddress">
    <w:name w:val="HTML Address"/>
    <w:basedOn w:val="Normal"/>
    <w:semiHidden/>
    <w:rsid w:val="00516E2A"/>
    <w:rPr>
      <w:i/>
      <w:iCs/>
    </w:rPr>
  </w:style>
  <w:style w:type="character" w:styleId="HTMLCite">
    <w:name w:val="HTML Cite"/>
    <w:semiHidden/>
    <w:rsid w:val="00516E2A"/>
    <w:rPr>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semiHidden/>
    <w:rsid w:val="00516E2A"/>
    <w:rPr>
      <w:rFonts w:ascii="Courier New" w:hAnsi="Courier New" w:cs="Courier New"/>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i/>
      <w:iCs/>
    </w:rPr>
  </w:style>
  <w:style w:type="character" w:styleId="Hyperlink">
    <w:name w:val="Hyperlink"/>
    <w:uiPriority w:val="99"/>
    <w:rsid w:val="00B216C7"/>
    <w:rPr>
      <w:rFonts w:ascii="Arial" w:hAnsi="Arial"/>
      <w:color w:val="00314D"/>
      <w:sz w:val="20"/>
      <w:u w:val="none"/>
    </w:rPr>
  </w:style>
  <w:style w:type="character" w:styleId="LineNumber">
    <w:name w:val="line number"/>
    <w:basedOn w:val="DefaultParagraphFont"/>
    <w:semiHidden/>
    <w:rsid w:val="00516E2A"/>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5">
    <w:name w:val="List Bullet 5"/>
    <w:basedOn w:val="Normal"/>
    <w:semiHidden/>
    <w:rsid w:val="00516E2A"/>
    <w:pPr>
      <w:numPr>
        <w:numId w:val="1"/>
      </w:numPr>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2">
    <w:name w:val="List Number 2"/>
    <w:basedOn w:val="Normal"/>
    <w:semiHidden/>
    <w:rsid w:val="00516E2A"/>
    <w:pPr>
      <w:numPr>
        <w:numId w:val="2"/>
      </w:numPr>
    </w:pPr>
  </w:style>
  <w:style w:type="paragraph" w:styleId="ListNumber3">
    <w:name w:val="List Number 3"/>
    <w:basedOn w:val="Normal"/>
    <w:semiHidden/>
    <w:rsid w:val="00516E2A"/>
    <w:pPr>
      <w:numPr>
        <w:numId w:val="3"/>
      </w:numPr>
    </w:pPr>
  </w:style>
  <w:style w:type="paragraph" w:styleId="ListNumber4">
    <w:name w:val="List Number 4"/>
    <w:basedOn w:val="Normal"/>
    <w:semiHidden/>
    <w:rsid w:val="00516E2A"/>
    <w:pPr>
      <w:numPr>
        <w:numId w:val="4"/>
      </w:numPr>
    </w:pPr>
  </w:style>
  <w:style w:type="paragraph" w:styleId="ListNumber5">
    <w:name w:val="List Number 5"/>
    <w:basedOn w:val="Normal"/>
    <w:semiHidden/>
    <w:rsid w:val="00516E2A"/>
    <w:pPr>
      <w:numPr>
        <w:numId w:val="5"/>
      </w:numPr>
    </w:pPr>
  </w:style>
  <w:style w:type="paragraph" w:styleId="MessageHeader">
    <w:name w:val="Message Header"/>
    <w:basedOn w:val="Normal"/>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516E2A"/>
    <w:rPr>
      <w:rFonts w:ascii="Times New Roman" w:hAnsi="Times New Roman"/>
      <w:sz w:val="24"/>
      <w:szCs w:val="24"/>
    </w:rPr>
  </w:style>
  <w:style w:type="paragraph" w:styleId="NoteHeading">
    <w:name w:val="Note Heading"/>
    <w:basedOn w:val="Normal"/>
    <w:next w:val="Normal"/>
    <w:semiHidden/>
    <w:rsid w:val="00516E2A"/>
  </w:style>
  <w:style w:type="paragraph" w:styleId="PlainText">
    <w:name w:val="Plain Text"/>
    <w:basedOn w:val="Normal"/>
    <w:semiHidden/>
    <w:rsid w:val="00516E2A"/>
    <w:rPr>
      <w:rFonts w:ascii="Courier New" w:hAnsi="Courier New" w:cs="Courier New"/>
    </w:rPr>
  </w:style>
  <w:style w:type="paragraph" w:styleId="Salutation">
    <w:name w:val="Salutation"/>
    <w:basedOn w:val="Normal"/>
    <w:next w:val="Normal"/>
    <w:semiHidden/>
    <w:rsid w:val="00516E2A"/>
  </w:style>
  <w:style w:type="paragraph" w:styleId="Signature">
    <w:name w:val="Signature"/>
    <w:basedOn w:val="Normal"/>
    <w:semiHidden/>
    <w:rsid w:val="00516E2A"/>
    <w:pPr>
      <w:ind w:left="4252"/>
    </w:pPr>
  </w:style>
  <w:style w:type="table" w:styleId="Table3Deffects1">
    <w:name w:val="Table 3D effects 1"/>
    <w:basedOn w:val="TableNormal"/>
    <w:semiHidden/>
    <w:rsid w:val="00516E2A"/>
    <w:pPr>
      <w:spacing w:before="40"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6E2A"/>
    <w:pPr>
      <w:spacing w:before="40" w:after="1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6E2A"/>
    <w:pPr>
      <w:spacing w:before="40" w:after="1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927F4"/>
    <w:pPr>
      <w:spacing w:after="200" w:line="280" w:lineRule="exact"/>
      <w:ind w:left="108"/>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cPr>
      <w:shd w:val="clear" w:color="auto" w:fill="auto"/>
    </w:tcPr>
    <w:tblStylePr w:type="firstRow">
      <w:rPr>
        <w:rFonts w:ascii="Arial" w:hAnsi="Arial"/>
        <w:b w:val="0"/>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6E2A"/>
    <w:pPr>
      <w:spacing w:before="40" w:after="1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semiHidden/>
    <w:rsid w:val="00D957D4"/>
    <w:rPr>
      <w:rFonts w:ascii="Arial" w:hAnsi="Arial"/>
      <w:sz w:val="20"/>
      <w:vertAlign w:val="superscript"/>
    </w:rPr>
  </w:style>
  <w:style w:type="paragraph" w:customStyle="1" w:styleId="UrbisTableBullets2">
    <w:name w:val="Urbis_Table_Bullets_2"/>
    <w:basedOn w:val="UrbisTableBullets"/>
    <w:qFormat/>
    <w:rsid w:val="00046E6E"/>
    <w:pPr>
      <w:ind w:left="681"/>
    </w:pPr>
  </w:style>
  <w:style w:type="paragraph" w:customStyle="1" w:styleId="Appendix3">
    <w:name w:val="Appendix 3"/>
    <w:basedOn w:val="Appendix2"/>
    <w:next w:val="Normal"/>
    <w:link w:val="Appendix3Char"/>
    <w:rsid w:val="001B13B2"/>
    <w:pPr>
      <w:numPr>
        <w:ilvl w:val="2"/>
      </w:numPr>
      <w:tabs>
        <w:tab w:val="left" w:pos="2183"/>
      </w:tabs>
      <w:spacing w:before="300"/>
    </w:pPr>
    <w:rPr>
      <w:color w:val="666666"/>
      <w:sz w:val="24"/>
    </w:rPr>
  </w:style>
  <w:style w:type="character" w:customStyle="1" w:styleId="Appendix3Char">
    <w:name w:val="Appendix 3 Char"/>
    <w:link w:val="Appendix3"/>
    <w:rsid w:val="001B13B2"/>
    <w:rPr>
      <w:rFonts w:ascii="Arial" w:hAnsi="Arial"/>
      <w:color w:val="666666"/>
      <w:sz w:val="24"/>
      <w:szCs w:val="48"/>
      <w:lang w:eastAsia="en-US"/>
    </w:rPr>
  </w:style>
  <w:style w:type="character" w:styleId="PageNumber">
    <w:name w:val="page number"/>
    <w:rsid w:val="00D36072"/>
    <w:rPr>
      <w:rFonts w:ascii="Arial" w:hAnsi="Arial"/>
      <w:color w:val="595959" w:themeColor="text1" w:themeTint="A6"/>
      <w:sz w:val="32"/>
    </w:rPr>
  </w:style>
  <w:style w:type="paragraph" w:customStyle="1" w:styleId="UrbisTCEntry">
    <w:name w:val="Urbis TC Entry"/>
    <w:basedOn w:val="Normal"/>
    <w:rsid w:val="00634D8A"/>
  </w:style>
  <w:style w:type="paragraph" w:customStyle="1" w:styleId="UrbisClientLogo">
    <w:name w:val="Urbis Client Logo"/>
    <w:basedOn w:val="Normal"/>
    <w:rsid w:val="003A2766"/>
    <w:pPr>
      <w:spacing w:before="0" w:after="0"/>
      <w:ind w:right="57"/>
      <w:jc w:val="right"/>
    </w:pPr>
  </w:style>
  <w:style w:type="paragraph" w:styleId="BalloonText">
    <w:name w:val="Balloon Text"/>
    <w:basedOn w:val="Normal"/>
    <w:link w:val="BalloonTextChar"/>
    <w:uiPriority w:val="99"/>
    <w:semiHidden/>
    <w:rsid w:val="0094359F"/>
    <w:rPr>
      <w:rFonts w:ascii="Tahoma" w:hAnsi="Tahoma" w:cs="Tahoma"/>
      <w:sz w:val="16"/>
      <w:szCs w:val="16"/>
    </w:rPr>
  </w:style>
  <w:style w:type="paragraph" w:customStyle="1" w:styleId="UrbisDisclaimer">
    <w:name w:val="Urbis Disclaimer"/>
    <w:basedOn w:val="Normal"/>
    <w:rsid w:val="00A02671"/>
    <w:pPr>
      <w:spacing w:before="0" w:after="80"/>
    </w:pPr>
    <w:rPr>
      <w:sz w:val="18"/>
      <w:szCs w:val="18"/>
    </w:rPr>
  </w:style>
  <w:style w:type="paragraph" w:customStyle="1" w:styleId="TableCaption">
    <w:name w:val="Table Caption"/>
    <w:basedOn w:val="Normal"/>
    <w:link w:val="TableCaptionChar"/>
    <w:qFormat/>
    <w:rsid w:val="009779FA"/>
    <w:pPr>
      <w:keepNext/>
      <w:tabs>
        <w:tab w:val="left" w:pos="980"/>
      </w:tabs>
      <w:spacing w:after="60"/>
      <w:ind w:left="981" w:hanging="981"/>
    </w:pPr>
    <w:rPr>
      <w:color w:val="00314D"/>
    </w:rPr>
  </w:style>
  <w:style w:type="table" w:customStyle="1" w:styleId="CaptionTable">
    <w:name w:val="Caption_Table"/>
    <w:basedOn w:val="TableNormal"/>
    <w:rsid w:val="00F41FD7"/>
    <w:tblPr/>
    <w:tcPr>
      <w:vAlign w:val="bottom"/>
    </w:tcPr>
    <w:tblStylePr w:type="firstRow">
      <w:rPr>
        <w:rFonts w:ascii="Arial" w:hAnsi="Arial"/>
        <w:caps w:val="0"/>
        <w:smallCaps w:val="0"/>
        <w:color w:val="009FE3"/>
        <w:sz w:val="24"/>
      </w:rPr>
      <w:tblPr/>
      <w:tcPr>
        <w:tcBorders>
          <w:top w:val="nil"/>
          <w:left w:val="nil"/>
          <w:bottom w:val="nil"/>
          <w:right w:val="nil"/>
          <w:insideH w:val="nil"/>
          <w:insideV w:val="nil"/>
          <w:tl2br w:val="nil"/>
          <w:tr2bl w:val="nil"/>
        </w:tcBorders>
      </w:tcPr>
    </w:tblStylePr>
    <w:tblStylePr w:type="lastRow">
      <w:rPr>
        <w:rFonts w:ascii="Arial" w:hAnsi="Arial"/>
        <w:caps/>
        <w:smallCaps w:val="0"/>
        <w:color w:val="7F7F7F"/>
        <w:sz w:val="16"/>
      </w:rPr>
      <w:tblPr/>
      <w:tcPr>
        <w:tcBorders>
          <w:bottom w:val="dotted" w:sz="4" w:space="0" w:color="0092D2"/>
        </w:tcBorders>
      </w:tcPr>
    </w:tblStylePr>
  </w:style>
  <w:style w:type="character" w:customStyle="1" w:styleId="TableCaptionChar">
    <w:name w:val="Table Caption Char"/>
    <w:link w:val="TableCaption"/>
    <w:rsid w:val="009779FA"/>
    <w:rPr>
      <w:rFonts w:ascii="Arial" w:hAnsi="Arial"/>
      <w:color w:val="00314D"/>
      <w:lang w:eastAsia="en-US"/>
    </w:rPr>
  </w:style>
  <w:style w:type="paragraph" w:customStyle="1" w:styleId="CaptionPictures">
    <w:name w:val="Caption Pictures"/>
    <w:basedOn w:val="Normal"/>
    <w:rsid w:val="00E014FC"/>
    <w:pPr>
      <w:keepNext/>
      <w:tabs>
        <w:tab w:val="left" w:pos="1021"/>
      </w:tabs>
      <w:spacing w:after="120"/>
      <w:ind w:left="1021" w:hanging="1021"/>
    </w:pPr>
    <w:rPr>
      <w:bCs/>
      <w:color w:val="00314D"/>
      <w:sz w:val="16"/>
      <w:szCs w:val="16"/>
    </w:rPr>
  </w:style>
  <w:style w:type="paragraph" w:customStyle="1" w:styleId="Spacer">
    <w:name w:val="Spacer"/>
    <w:basedOn w:val="Normal"/>
    <w:rsid w:val="00216B44"/>
    <w:pPr>
      <w:spacing w:before="0" w:after="0"/>
    </w:pPr>
    <w:rPr>
      <w:sz w:val="2"/>
      <w:szCs w:val="2"/>
    </w:rPr>
  </w:style>
  <w:style w:type="character" w:customStyle="1" w:styleId="FooterChar">
    <w:name w:val="Footer Char"/>
    <w:link w:val="Footer"/>
    <w:rsid w:val="001F7FC7"/>
    <w:rPr>
      <w:rFonts w:ascii="Arial" w:hAnsi="Arial"/>
      <w:sz w:val="16"/>
      <w:szCs w:val="16"/>
      <w:lang w:val="en-AU" w:eastAsia="en-US" w:bidi="ar-SA"/>
    </w:rPr>
  </w:style>
  <w:style w:type="paragraph" w:customStyle="1" w:styleId="PictureCaption">
    <w:name w:val="Picture Caption"/>
    <w:basedOn w:val="Normal"/>
    <w:rsid w:val="0098595A"/>
    <w:pPr>
      <w:keepNext/>
      <w:tabs>
        <w:tab w:val="left" w:pos="1021"/>
      </w:tabs>
      <w:spacing w:after="120"/>
    </w:pPr>
    <w:rPr>
      <w:sz w:val="18"/>
    </w:rPr>
  </w:style>
  <w:style w:type="paragraph" w:customStyle="1" w:styleId="UrbisImageCell">
    <w:name w:val="Urbis Image Cell"/>
    <w:basedOn w:val="UrbisPhotoCell"/>
    <w:rsid w:val="006D5B58"/>
    <w:pPr>
      <w:keepNext/>
      <w:spacing w:after="60"/>
    </w:pPr>
    <w:rPr>
      <w:sz w:val="22"/>
    </w:rPr>
  </w:style>
  <w:style w:type="paragraph" w:customStyle="1" w:styleId="UrbisTableBody">
    <w:name w:val="Urbis_Table_Body"/>
    <w:basedOn w:val="Normal"/>
    <w:rsid w:val="009D7FB8"/>
    <w:pPr>
      <w:spacing w:before="0" w:after="200" w:line="280" w:lineRule="exact"/>
      <w:ind w:left="108"/>
    </w:pPr>
    <w:rPr>
      <w:sz w:val="18"/>
      <w:szCs w:val="18"/>
    </w:rPr>
  </w:style>
  <w:style w:type="paragraph" w:customStyle="1" w:styleId="UrbisTableBullets">
    <w:name w:val="Urbis_Table_Bullets"/>
    <w:basedOn w:val="UrbisTableBody"/>
    <w:rsid w:val="00E93726"/>
    <w:pPr>
      <w:numPr>
        <w:numId w:val="10"/>
      </w:numPr>
      <w:ind w:left="454"/>
    </w:pPr>
    <w:rPr>
      <w:sz w:val="20"/>
    </w:rPr>
  </w:style>
  <w:style w:type="paragraph" w:customStyle="1" w:styleId="Appendix1">
    <w:name w:val="Appendix 1"/>
    <w:basedOn w:val="Normal"/>
    <w:next w:val="Normal"/>
    <w:qFormat/>
    <w:rsid w:val="00B216C7"/>
    <w:pPr>
      <w:keepNext/>
      <w:pageBreakBefore/>
      <w:numPr>
        <w:numId w:val="11"/>
      </w:numPr>
      <w:spacing w:before="3000" w:after="120"/>
      <w:ind w:left="3402" w:hanging="3402"/>
      <w:outlineLvl w:val="0"/>
    </w:pPr>
    <w:rPr>
      <w:color w:val="00314D"/>
      <w:sz w:val="36"/>
      <w:szCs w:val="48"/>
    </w:rPr>
  </w:style>
  <w:style w:type="paragraph" w:styleId="TOCHeading">
    <w:name w:val="TOC Heading"/>
    <w:basedOn w:val="Heading1"/>
    <w:next w:val="Normal"/>
    <w:uiPriority w:val="39"/>
    <w:unhideWhenUsed/>
    <w:qFormat/>
    <w:rsid w:val="00307378"/>
    <w:pPr>
      <w:keepLines/>
      <w:pageBreakBefore w:val="0"/>
      <w:numPr>
        <w:numId w:val="0"/>
      </w:num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en-US" w:eastAsia="ja-JP"/>
    </w:rPr>
  </w:style>
  <w:style w:type="paragraph" w:customStyle="1" w:styleId="UrbisTableBody0">
    <w:name w:val="Urbis Table Body"/>
    <w:basedOn w:val="Normal"/>
    <w:qFormat/>
    <w:rsid w:val="00E93726"/>
    <w:pPr>
      <w:spacing w:before="120" w:after="120" w:line="240" w:lineRule="exact"/>
      <w:ind w:left="108"/>
    </w:pPr>
    <w:rPr>
      <w:szCs w:val="18"/>
    </w:rPr>
  </w:style>
  <w:style w:type="paragraph" w:customStyle="1" w:styleId="UrbisTableHeader">
    <w:name w:val="Urbis Table Header"/>
    <w:basedOn w:val="Normal"/>
    <w:qFormat/>
    <w:rsid w:val="00D04C9C"/>
    <w:pPr>
      <w:spacing w:before="120" w:after="120" w:line="240" w:lineRule="exact"/>
      <w:ind w:left="108"/>
    </w:pPr>
    <w:rPr>
      <w:color w:val="00314D"/>
      <w:szCs w:val="24"/>
    </w:rPr>
  </w:style>
  <w:style w:type="paragraph" w:customStyle="1" w:styleId="ExceTableDescription">
    <w:name w:val="Exce Table Description"/>
    <w:basedOn w:val="Normal"/>
    <w:rsid w:val="007712B2"/>
    <w:pPr>
      <w:spacing w:before="0" w:after="0"/>
    </w:pPr>
    <w:rPr>
      <w:color w:val="595959" w:themeColor="text1" w:themeTint="A6"/>
      <w:lang w:eastAsia="en-AU"/>
    </w:rPr>
  </w:style>
  <w:style w:type="paragraph" w:customStyle="1" w:styleId="ExcelTableHeading">
    <w:name w:val="Excel Table Heading"/>
    <w:basedOn w:val="Normal"/>
    <w:rsid w:val="00B216C7"/>
    <w:pPr>
      <w:spacing w:before="0" w:after="0"/>
    </w:pPr>
    <w:rPr>
      <w:color w:val="00314D"/>
      <w:sz w:val="24"/>
    </w:rPr>
  </w:style>
  <w:style w:type="paragraph" w:customStyle="1" w:styleId="Disclaimer">
    <w:name w:val="Disclaimer"/>
    <w:qFormat/>
    <w:rsid w:val="00EA5BD5"/>
    <w:pPr>
      <w:spacing w:after="120"/>
    </w:pPr>
    <w:rPr>
      <w:rFonts w:ascii="Arial" w:hAnsi="Arial" w:cs="Arial"/>
      <w:bCs/>
      <w:szCs w:val="32"/>
      <w:lang w:eastAsia="en-US"/>
    </w:rPr>
  </w:style>
  <w:style w:type="paragraph" w:styleId="Title">
    <w:name w:val="Title"/>
    <w:basedOn w:val="Normal"/>
    <w:next w:val="Normal"/>
    <w:link w:val="TitleChar"/>
    <w:uiPriority w:val="10"/>
    <w:qFormat/>
    <w:rsid w:val="00B216C7"/>
    <w:pPr>
      <w:shd w:val="clear" w:color="auto" w:fill="FFFFFF"/>
      <w:spacing w:before="0" w:line="720" w:lineRule="exact"/>
      <w:jc w:val="right"/>
    </w:pPr>
    <w:rPr>
      <w:rFonts w:eastAsiaTheme="majorEastAsia" w:cstheme="majorBidi"/>
      <w:color w:val="00314D"/>
      <w:sz w:val="52"/>
      <w:szCs w:val="52"/>
    </w:rPr>
  </w:style>
  <w:style w:type="character" w:customStyle="1" w:styleId="TitleChar">
    <w:name w:val="Title Char"/>
    <w:basedOn w:val="DefaultParagraphFont"/>
    <w:link w:val="Title"/>
    <w:uiPriority w:val="10"/>
    <w:rsid w:val="00B216C7"/>
    <w:rPr>
      <w:rFonts w:ascii="Arial" w:eastAsiaTheme="majorEastAsia" w:hAnsi="Arial" w:cstheme="majorBidi"/>
      <w:color w:val="00314D"/>
      <w:sz w:val="52"/>
      <w:szCs w:val="52"/>
      <w:shd w:val="clear" w:color="auto" w:fill="FFFFFF"/>
      <w:lang w:eastAsia="en-US"/>
    </w:rPr>
  </w:style>
  <w:style w:type="paragraph" w:styleId="Subtitle">
    <w:name w:val="Subtitle"/>
    <w:basedOn w:val="Normal"/>
    <w:next w:val="Normal"/>
    <w:link w:val="SubtitleChar"/>
    <w:uiPriority w:val="11"/>
    <w:qFormat/>
    <w:rsid w:val="00B216C7"/>
    <w:pPr>
      <w:numPr>
        <w:ilvl w:val="1"/>
      </w:numPr>
      <w:shd w:val="clear" w:color="auto" w:fill="FFFFFF"/>
      <w:spacing w:before="0"/>
      <w:jc w:val="right"/>
    </w:pPr>
    <w:rPr>
      <w:rFonts w:eastAsiaTheme="majorEastAsia" w:cstheme="majorBidi"/>
      <w:iCs/>
      <w:color w:val="00314D"/>
      <w:spacing w:val="15"/>
      <w:sz w:val="28"/>
      <w:szCs w:val="24"/>
    </w:rPr>
  </w:style>
  <w:style w:type="character" w:customStyle="1" w:styleId="SubtitleChar">
    <w:name w:val="Subtitle Char"/>
    <w:basedOn w:val="DefaultParagraphFont"/>
    <w:link w:val="Subtitle"/>
    <w:uiPriority w:val="11"/>
    <w:rsid w:val="00B216C7"/>
    <w:rPr>
      <w:rFonts w:ascii="Arial" w:eastAsiaTheme="majorEastAsia" w:hAnsi="Arial" w:cstheme="majorBidi"/>
      <w:iCs/>
      <w:color w:val="00314D"/>
      <w:spacing w:val="15"/>
      <w:sz w:val="28"/>
      <w:szCs w:val="24"/>
      <w:shd w:val="clear" w:color="auto" w:fill="FFFFFF"/>
      <w:lang w:eastAsia="en-US"/>
    </w:rPr>
  </w:style>
  <w:style w:type="paragraph" w:customStyle="1" w:styleId="Logo">
    <w:name w:val="Logo"/>
    <w:basedOn w:val="Normal"/>
    <w:rsid w:val="00B216C7"/>
    <w:pPr>
      <w:shd w:val="clear" w:color="auto" w:fill="FFFFFF"/>
      <w:spacing w:before="1800" w:after="120"/>
      <w:jc w:val="right"/>
    </w:pPr>
    <w:rPr>
      <w:rFonts w:ascii="Calibri" w:eastAsiaTheme="minorHAnsi" w:hAnsi="Calibri"/>
      <w:color w:val="00314D"/>
    </w:rPr>
  </w:style>
  <w:style w:type="paragraph" w:customStyle="1" w:styleId="NoSpace">
    <w:name w:val="No Space"/>
    <w:basedOn w:val="Normal"/>
    <w:qFormat/>
    <w:rsid w:val="00A95F85"/>
    <w:pPr>
      <w:spacing w:before="0" w:after="0"/>
    </w:pPr>
  </w:style>
  <w:style w:type="character" w:styleId="PlaceholderText">
    <w:name w:val="Placeholder Text"/>
    <w:basedOn w:val="DefaultParagraphFont"/>
    <w:uiPriority w:val="99"/>
    <w:semiHidden/>
    <w:rsid w:val="00EA5BD5"/>
    <w:rPr>
      <w:color w:val="808080"/>
    </w:rPr>
  </w:style>
  <w:style w:type="paragraph" w:customStyle="1" w:styleId="CrossReference">
    <w:name w:val="Cross_Reference"/>
    <w:basedOn w:val="Normal"/>
    <w:qFormat/>
    <w:rsid w:val="00B216C7"/>
    <w:rPr>
      <w:color w:val="00314D"/>
    </w:rPr>
  </w:style>
  <w:style w:type="paragraph" w:styleId="Quote">
    <w:name w:val="Quote"/>
    <w:basedOn w:val="Normal"/>
    <w:next w:val="Normal"/>
    <w:link w:val="QuoteChar"/>
    <w:uiPriority w:val="29"/>
    <w:qFormat/>
    <w:rsid w:val="00844F54"/>
    <w:pPr>
      <w:ind w:left="454" w:right="454"/>
    </w:pPr>
    <w:rPr>
      <w:i/>
      <w:iCs/>
      <w:color w:val="000000" w:themeColor="text1"/>
      <w:sz w:val="18"/>
    </w:rPr>
  </w:style>
  <w:style w:type="character" w:customStyle="1" w:styleId="QuoteChar">
    <w:name w:val="Quote Char"/>
    <w:basedOn w:val="DefaultParagraphFont"/>
    <w:link w:val="Quote"/>
    <w:uiPriority w:val="29"/>
    <w:rsid w:val="00844F54"/>
    <w:rPr>
      <w:rFonts w:ascii="Arial" w:hAnsi="Arial"/>
      <w:i/>
      <w:iCs/>
      <w:color w:val="000000" w:themeColor="text1"/>
      <w:sz w:val="18"/>
      <w:lang w:eastAsia="en-US"/>
    </w:rPr>
  </w:style>
  <w:style w:type="paragraph" w:styleId="FootnoteText">
    <w:name w:val="footnote text"/>
    <w:basedOn w:val="Normal"/>
    <w:link w:val="FootnoteTextChar"/>
    <w:rsid w:val="000646B5"/>
    <w:pPr>
      <w:spacing w:before="0" w:after="0"/>
    </w:pPr>
  </w:style>
  <w:style w:type="character" w:customStyle="1" w:styleId="FootnoteTextChar">
    <w:name w:val="Footnote Text Char"/>
    <w:basedOn w:val="DefaultParagraphFont"/>
    <w:link w:val="FootnoteText"/>
    <w:rsid w:val="000646B5"/>
    <w:rPr>
      <w:rFonts w:ascii="Arial" w:hAnsi="Arial"/>
      <w:lang w:eastAsia="en-US"/>
    </w:rPr>
  </w:style>
  <w:style w:type="paragraph" w:customStyle="1" w:styleId="Head1">
    <w:name w:val="Head 1"/>
    <w:basedOn w:val="Heading1"/>
    <w:qFormat/>
    <w:rsid w:val="00F523D7"/>
    <w:pPr>
      <w:numPr>
        <w:numId w:val="0"/>
      </w:numPr>
    </w:pPr>
  </w:style>
  <w:style w:type="paragraph" w:customStyle="1" w:styleId="Head2">
    <w:name w:val="Head 2"/>
    <w:basedOn w:val="Heading2"/>
    <w:qFormat/>
    <w:rsid w:val="00F0754B"/>
    <w:pPr>
      <w:numPr>
        <w:ilvl w:val="0"/>
        <w:numId w:val="0"/>
      </w:numPr>
    </w:pPr>
  </w:style>
  <w:style w:type="paragraph" w:customStyle="1" w:styleId="Head3">
    <w:name w:val="Head 3"/>
    <w:basedOn w:val="Heading3"/>
    <w:qFormat/>
    <w:rsid w:val="00F0754B"/>
    <w:pPr>
      <w:numPr>
        <w:ilvl w:val="0"/>
        <w:numId w:val="0"/>
      </w:numPr>
    </w:pPr>
  </w:style>
  <w:style w:type="paragraph" w:customStyle="1" w:styleId="Head4">
    <w:name w:val="Head 4"/>
    <w:basedOn w:val="Heading4"/>
    <w:qFormat/>
    <w:rsid w:val="00F0754B"/>
    <w:pPr>
      <w:numPr>
        <w:ilvl w:val="0"/>
        <w:numId w:val="0"/>
      </w:numPr>
    </w:pPr>
  </w:style>
  <w:style w:type="paragraph" w:styleId="ListParagraph">
    <w:name w:val="List Paragraph"/>
    <w:basedOn w:val="Normal"/>
    <w:link w:val="ListParagraphChar"/>
    <w:uiPriority w:val="34"/>
    <w:qFormat/>
    <w:rsid w:val="004D0D51"/>
    <w:pPr>
      <w:ind w:left="357" w:hanging="357"/>
    </w:pPr>
  </w:style>
  <w:style w:type="paragraph" w:customStyle="1" w:styleId="Head10">
    <w:name w:val="Head1"/>
    <w:basedOn w:val="Normal"/>
    <w:next w:val="Normal"/>
    <w:qFormat/>
    <w:rsid w:val="00B0454F"/>
    <w:pPr>
      <w:spacing w:before="0" w:after="160"/>
    </w:pPr>
    <w:rPr>
      <w:rFonts w:ascii="Flama Cond Bold" w:hAnsi="Flama Cond Bold" w:cs="Courier New"/>
      <w:caps/>
      <w:color w:val="000000" w:themeColor="text1"/>
      <w:sz w:val="48"/>
    </w:rPr>
  </w:style>
  <w:style w:type="paragraph" w:customStyle="1" w:styleId="Head20">
    <w:name w:val="Head2"/>
    <w:basedOn w:val="Normal"/>
    <w:next w:val="Normal"/>
    <w:qFormat/>
    <w:rsid w:val="00B0454F"/>
    <w:pPr>
      <w:spacing w:before="0" w:after="120"/>
    </w:pPr>
    <w:rPr>
      <w:rFonts w:ascii="Flama Cond Bold" w:hAnsi="Flama Cond Bold" w:cs="Courier New"/>
      <w:caps/>
      <w:color w:val="000000" w:themeColor="text1"/>
      <w:sz w:val="36"/>
    </w:rPr>
  </w:style>
  <w:style w:type="character" w:customStyle="1" w:styleId="ListParagraphChar">
    <w:name w:val="List Paragraph Char"/>
    <w:link w:val="ListParagraph"/>
    <w:uiPriority w:val="34"/>
    <w:rsid w:val="00B0454F"/>
    <w:rPr>
      <w:rFonts w:ascii="Arial" w:hAnsi="Arial"/>
      <w:lang w:eastAsia="en-US"/>
    </w:rPr>
  </w:style>
  <w:style w:type="table" w:customStyle="1" w:styleId="Urbis-Default">
    <w:name w:val="Urbis-Default"/>
    <w:basedOn w:val="TableNormal"/>
    <w:rsid w:val="00B0454F"/>
    <w:rPr>
      <w:rFonts w:ascii="Arial" w:hAnsi="Arial"/>
    </w:rPr>
    <w:tblPr>
      <w:tblStyleRowBandSize w:val="1"/>
      <w:tblBorders>
        <w:left w:val="single" w:sz="4" w:space="0" w:color="D9D9D9" w:themeColor="background1" w:themeShade="D9"/>
        <w:right w:val="single" w:sz="4" w:space="0" w:color="D9D9D9" w:themeColor="background1" w:themeShade="D9"/>
        <w:insideV w:val="single" w:sz="4" w:space="0" w:color="D9D9D9" w:themeColor="background1" w:themeShade="D9"/>
      </w:tblBorders>
    </w:tblPr>
    <w:tcPr>
      <w:shd w:val="clear" w:color="auto" w:fill="auto"/>
      <w:vAlign w:val="bottom"/>
    </w:tcPr>
    <w:tblStylePr w:type="firstRow">
      <w:rPr>
        <w:rFonts w:ascii="Arial" w:hAnsi="Arial"/>
        <w:color w:val="009FE3"/>
        <w:sz w:val="20"/>
      </w:rPr>
      <w:tblPr/>
      <w:tcPr>
        <w:tcBorders>
          <w:top w:val="nil"/>
          <w:left w:val="single" w:sz="4" w:space="0" w:color="D9D9D9" w:themeColor="background1" w:themeShade="D9"/>
          <w:bottom w:val="nil"/>
          <w:right w:val="single" w:sz="4" w:space="0" w:color="D9D9D9" w:themeColor="background1" w:themeShade="D9"/>
          <w:insideH w:val="single" w:sz="4" w:space="0" w:color="D9D9D9" w:themeColor="background1" w:themeShade="D9"/>
          <w:insideV w:val="single" w:sz="4" w:space="0" w:color="D9D9D9" w:themeColor="background1" w:themeShade="D9"/>
          <w:tl2br w:val="nil"/>
          <w:tr2bl w:val="nil"/>
        </w:tcBorders>
        <w:shd w:val="clear" w:color="auto" w:fill="auto"/>
      </w:tcPr>
    </w:tblStylePr>
    <w:tblStylePr w:type="lastRow">
      <w:rPr>
        <w:rFonts w:ascii="Arial" w:hAnsi="Arial"/>
        <w:caps/>
        <w:smallCaps w:val="0"/>
        <w:color w:val="7F7F7F"/>
        <w:sz w:val="16"/>
      </w:rPr>
      <w:tblPr/>
      <w:tcPr>
        <w:tcBorders>
          <w:bottom w:val="dotted" w:sz="4" w:space="0" w:color="0092D2"/>
        </w:tcBorders>
      </w:tcPr>
    </w:tblStylePr>
    <w:tblStylePr w:type="band1Horz">
      <w:tblPr/>
      <w:tcPr>
        <w:shd w:val="clear" w:color="auto" w:fill="F2F2F2" w:themeFill="background1" w:themeFillShade="F2"/>
      </w:tcPr>
    </w:tblStylePr>
  </w:style>
  <w:style w:type="paragraph" w:styleId="ListBullet">
    <w:name w:val="List Bullet"/>
    <w:aliases w:val="List_Bullet"/>
    <w:basedOn w:val="Normal"/>
    <w:rsid w:val="00B0454F"/>
    <w:pPr>
      <w:tabs>
        <w:tab w:val="num" w:pos="360"/>
      </w:tabs>
      <w:spacing w:before="0" w:after="160"/>
      <w:ind w:left="357" w:hanging="357"/>
    </w:pPr>
    <w:rPr>
      <w:color w:val="404040"/>
    </w:rPr>
  </w:style>
  <w:style w:type="paragraph" w:styleId="ListNumber">
    <w:name w:val="List Number"/>
    <w:aliases w:val="List_Number"/>
    <w:basedOn w:val="Normal"/>
    <w:rsid w:val="00B0454F"/>
    <w:pPr>
      <w:tabs>
        <w:tab w:val="num" w:pos="360"/>
      </w:tabs>
      <w:spacing w:before="0" w:after="160"/>
      <w:ind w:left="357" w:hanging="357"/>
    </w:pPr>
    <w:rPr>
      <w:color w:val="404040"/>
      <w:szCs w:val="24"/>
    </w:rPr>
  </w:style>
  <w:style w:type="paragraph" w:customStyle="1" w:styleId="UrbisTableHeading">
    <w:name w:val="Urbis_Table_Heading"/>
    <w:basedOn w:val="Normal"/>
    <w:qFormat/>
    <w:rsid w:val="00B0454F"/>
    <w:pPr>
      <w:spacing w:before="0" w:after="200" w:line="280" w:lineRule="exact"/>
    </w:pPr>
    <w:rPr>
      <w:b/>
      <w:color w:val="000000" w:themeColor="text1"/>
      <w:lang w:eastAsia="en-AU"/>
    </w:rPr>
  </w:style>
  <w:style w:type="paragraph" w:customStyle="1" w:styleId="UrbisTableBullet">
    <w:name w:val="Urbis_Table_Bullet"/>
    <w:basedOn w:val="Normal"/>
    <w:qFormat/>
    <w:rsid w:val="00B0454F"/>
    <w:pPr>
      <w:numPr>
        <w:numId w:val="12"/>
      </w:numPr>
      <w:spacing w:before="0" w:after="200" w:line="280" w:lineRule="exact"/>
    </w:pPr>
    <w:rPr>
      <w:color w:val="404040"/>
      <w:lang w:eastAsia="en-AU"/>
    </w:rPr>
  </w:style>
  <w:style w:type="paragraph" w:customStyle="1" w:styleId="Head30">
    <w:name w:val="Head3"/>
    <w:basedOn w:val="Normal"/>
    <w:next w:val="Normal"/>
    <w:qFormat/>
    <w:rsid w:val="00CD4CAF"/>
    <w:pPr>
      <w:spacing w:before="0" w:after="80"/>
    </w:pPr>
    <w:rPr>
      <w:rFonts w:cs="Courier New"/>
      <w:b/>
      <w:color w:val="000000" w:themeColor="text1"/>
      <w:sz w:val="26"/>
    </w:rPr>
  </w:style>
  <w:style w:type="paragraph" w:customStyle="1" w:styleId="UrbisTableText">
    <w:name w:val="Urbis_Table_Text"/>
    <w:basedOn w:val="Normal"/>
    <w:qFormat/>
    <w:rsid w:val="00CD4CAF"/>
    <w:pPr>
      <w:spacing w:before="0" w:after="200" w:line="280" w:lineRule="exact"/>
    </w:pPr>
    <w:rPr>
      <w:color w:val="404040"/>
      <w:lang w:eastAsia="en-AU"/>
    </w:rPr>
  </w:style>
  <w:style w:type="character" w:customStyle="1" w:styleId="Heading1Char">
    <w:name w:val="Heading 1 Char"/>
    <w:link w:val="Heading1"/>
    <w:uiPriority w:val="9"/>
    <w:rsid w:val="00CD4CAF"/>
    <w:rPr>
      <w:rFonts w:ascii="Arial" w:hAnsi="Arial" w:cs="Arial"/>
      <w:bCs/>
      <w:color w:val="00314D"/>
      <w:sz w:val="36"/>
      <w:szCs w:val="32"/>
      <w:lang w:eastAsia="en-US"/>
    </w:rPr>
  </w:style>
  <w:style w:type="character" w:customStyle="1" w:styleId="Heading2Char">
    <w:name w:val="Heading 2 Char"/>
    <w:aliases w:val="1.1 Char,2 Char,h2 Char,Question Char,h2 + 12 pt Char,Bold Char,Before:  24 pt Char,After:  3 pt Char"/>
    <w:link w:val="Heading2"/>
    <w:uiPriority w:val="9"/>
    <w:rsid w:val="00CD4CAF"/>
    <w:rPr>
      <w:rFonts w:ascii="Arial" w:hAnsi="Arial" w:cs="Arial"/>
      <w:b/>
      <w:bCs/>
      <w:iCs/>
      <w:color w:val="00314D"/>
      <w:sz w:val="28"/>
      <w:szCs w:val="28"/>
      <w:lang w:eastAsia="en-US"/>
    </w:rPr>
  </w:style>
  <w:style w:type="character" w:customStyle="1" w:styleId="Heading3Char">
    <w:name w:val="Heading 3 Char"/>
    <w:aliases w:val="1.1.1 Char,3 Char,h3 Char,Section Char,Sub-heading Char,H3 Char,Heading 31 Char,Sub-heading1 Char,3 bullet Char,b Char,No number Char"/>
    <w:link w:val="Heading3"/>
    <w:uiPriority w:val="9"/>
    <w:rsid w:val="00CD4CAF"/>
    <w:rPr>
      <w:rFonts w:ascii="Arial" w:hAnsi="Arial" w:cs="Arial"/>
      <w:b/>
      <w:bCs/>
      <w:color w:val="595959" w:themeColor="text1" w:themeTint="A6"/>
      <w:sz w:val="24"/>
      <w:szCs w:val="24"/>
      <w:lang w:eastAsia="en-US"/>
    </w:rPr>
  </w:style>
  <w:style w:type="character" w:customStyle="1" w:styleId="Heading4Char">
    <w:name w:val="Heading 4 Char"/>
    <w:aliases w:val="Level 2 - a Char"/>
    <w:link w:val="Heading4"/>
    <w:uiPriority w:val="9"/>
    <w:rsid w:val="00CD4CAF"/>
    <w:rPr>
      <w:rFonts w:ascii="Arial" w:hAnsi="Arial"/>
      <w:bCs/>
      <w:color w:val="595959" w:themeColor="text1" w:themeTint="A6"/>
      <w:szCs w:val="28"/>
      <w:lang w:eastAsia="en-US"/>
    </w:rPr>
  </w:style>
  <w:style w:type="character" w:customStyle="1" w:styleId="Heading5Char">
    <w:name w:val="Heading 5 Char"/>
    <w:link w:val="Heading5"/>
    <w:uiPriority w:val="9"/>
    <w:semiHidden/>
    <w:rsid w:val="00CD4CAF"/>
    <w:rPr>
      <w:rFonts w:ascii="Arial" w:hAnsi="Arial"/>
      <w:b/>
      <w:bCs/>
      <w:i/>
      <w:iCs/>
      <w:sz w:val="26"/>
      <w:szCs w:val="26"/>
      <w:lang w:eastAsia="en-US"/>
    </w:rPr>
  </w:style>
  <w:style w:type="character" w:customStyle="1" w:styleId="Heading6Char">
    <w:name w:val="Heading 6 Char"/>
    <w:link w:val="Heading6"/>
    <w:uiPriority w:val="9"/>
    <w:semiHidden/>
    <w:rsid w:val="00CD4CAF"/>
    <w:rPr>
      <w:b/>
      <w:bCs/>
      <w:sz w:val="22"/>
      <w:szCs w:val="22"/>
      <w:lang w:eastAsia="en-US"/>
    </w:rPr>
  </w:style>
  <w:style w:type="character" w:customStyle="1" w:styleId="Heading7Char">
    <w:name w:val="Heading 7 Char"/>
    <w:link w:val="Heading7"/>
    <w:uiPriority w:val="9"/>
    <w:semiHidden/>
    <w:rsid w:val="00CD4CAF"/>
    <w:rPr>
      <w:sz w:val="24"/>
      <w:szCs w:val="24"/>
      <w:lang w:eastAsia="en-US"/>
    </w:rPr>
  </w:style>
  <w:style w:type="character" w:customStyle="1" w:styleId="Heading8Char">
    <w:name w:val="Heading 8 Char"/>
    <w:link w:val="Heading8"/>
    <w:uiPriority w:val="9"/>
    <w:semiHidden/>
    <w:rsid w:val="00CD4CAF"/>
    <w:rPr>
      <w:i/>
      <w:iCs/>
      <w:sz w:val="24"/>
      <w:szCs w:val="24"/>
      <w:lang w:eastAsia="en-US"/>
    </w:rPr>
  </w:style>
  <w:style w:type="character" w:customStyle="1" w:styleId="Heading9Char">
    <w:name w:val="Heading 9 Char"/>
    <w:link w:val="Heading9"/>
    <w:uiPriority w:val="9"/>
    <w:semiHidden/>
    <w:rsid w:val="00CD4CAF"/>
    <w:rPr>
      <w:rFonts w:ascii="Arial" w:hAnsi="Arial" w:cs="Arial"/>
      <w:sz w:val="22"/>
      <w:szCs w:val="22"/>
      <w:lang w:eastAsia="en-US"/>
    </w:rPr>
  </w:style>
  <w:style w:type="character" w:customStyle="1" w:styleId="HeaderChar">
    <w:name w:val="Header Char"/>
    <w:basedOn w:val="DefaultParagraphFont"/>
    <w:link w:val="Header"/>
    <w:uiPriority w:val="99"/>
    <w:rsid w:val="00CD4CAF"/>
    <w:rPr>
      <w:rFonts w:ascii="Arial" w:hAnsi="Arial"/>
      <w:lang w:eastAsia="en-US"/>
    </w:rPr>
  </w:style>
  <w:style w:type="character" w:customStyle="1" w:styleId="BalloonTextChar">
    <w:name w:val="Balloon Text Char"/>
    <w:basedOn w:val="DefaultParagraphFont"/>
    <w:link w:val="BalloonText"/>
    <w:uiPriority w:val="99"/>
    <w:semiHidden/>
    <w:rsid w:val="00CD4CAF"/>
    <w:rPr>
      <w:rFonts w:ascii="Tahoma" w:hAnsi="Tahoma" w:cs="Tahoma"/>
      <w:sz w:val="16"/>
      <w:szCs w:val="16"/>
      <w:lang w:eastAsia="en-US"/>
    </w:rPr>
  </w:style>
  <w:style w:type="paragraph" w:styleId="Caption">
    <w:name w:val="caption"/>
    <w:basedOn w:val="Normal"/>
    <w:next w:val="Normal"/>
    <w:unhideWhenUsed/>
    <w:qFormat/>
    <w:rsid w:val="00CD4CAF"/>
    <w:pPr>
      <w:spacing w:before="0" w:after="160"/>
    </w:pPr>
    <w:rPr>
      <w:rFonts w:cs="Courier New"/>
      <w:b/>
      <w:bCs/>
      <w:color w:val="404040"/>
      <w:sz w:val="16"/>
      <w:szCs w:val="16"/>
    </w:rPr>
  </w:style>
  <w:style w:type="character" w:styleId="CommentReference">
    <w:name w:val="annotation reference"/>
    <w:basedOn w:val="DefaultParagraphFont"/>
    <w:uiPriority w:val="99"/>
    <w:unhideWhenUsed/>
    <w:rsid w:val="00CD4CAF"/>
    <w:rPr>
      <w:sz w:val="16"/>
      <w:szCs w:val="16"/>
    </w:rPr>
  </w:style>
  <w:style w:type="paragraph" w:styleId="CommentText">
    <w:name w:val="annotation text"/>
    <w:basedOn w:val="Normal"/>
    <w:link w:val="CommentTextChar"/>
    <w:uiPriority w:val="99"/>
    <w:unhideWhenUsed/>
    <w:rsid w:val="00CD4CAF"/>
    <w:pPr>
      <w:spacing w:before="0" w:after="160"/>
    </w:pPr>
    <w:rPr>
      <w:rFonts w:cs="Courier New"/>
      <w:color w:val="404040"/>
    </w:rPr>
  </w:style>
  <w:style w:type="character" w:customStyle="1" w:styleId="CommentTextChar">
    <w:name w:val="Comment Text Char"/>
    <w:basedOn w:val="DefaultParagraphFont"/>
    <w:link w:val="CommentText"/>
    <w:uiPriority w:val="99"/>
    <w:rsid w:val="00CD4CAF"/>
    <w:rPr>
      <w:rFonts w:ascii="Arial" w:hAnsi="Arial" w:cs="Courier New"/>
      <w:color w:val="404040"/>
      <w:lang w:eastAsia="en-US"/>
    </w:rPr>
  </w:style>
  <w:style w:type="paragraph" w:styleId="NoSpacing">
    <w:name w:val="No Spacing"/>
    <w:uiPriority w:val="1"/>
    <w:rsid w:val="00CD4CAF"/>
    <w:rPr>
      <w:rFonts w:ascii="Gotham-Light" w:hAnsi="Gotham-Light" w:cs="Courier New"/>
      <w:color w:val="343741"/>
      <w:sz w:val="21"/>
      <w:lang w:eastAsia="en-US"/>
    </w:rPr>
  </w:style>
  <w:style w:type="character" w:styleId="Strong">
    <w:name w:val="Strong"/>
    <w:uiPriority w:val="22"/>
    <w:rsid w:val="00CD4CAF"/>
    <w:rPr>
      <w:b/>
      <w:bCs/>
    </w:rPr>
  </w:style>
  <w:style w:type="paragraph" w:customStyle="1" w:styleId="ExecutiveSummary">
    <w:name w:val="Executive Summary"/>
    <w:basedOn w:val="Normal"/>
    <w:next w:val="Normal"/>
    <w:qFormat/>
    <w:rsid w:val="00CD4CAF"/>
    <w:pPr>
      <w:spacing w:before="0" w:after="160"/>
    </w:pPr>
    <w:rPr>
      <w:rFonts w:ascii="Flama Cond Bold" w:hAnsi="Flama Cond Bold" w:cs="Courier New"/>
      <w:caps/>
      <w:color w:val="000000" w:themeColor="text1"/>
      <w:sz w:val="48"/>
    </w:rPr>
  </w:style>
  <w:style w:type="paragraph" w:customStyle="1" w:styleId="Introduction">
    <w:name w:val="Introduction"/>
    <w:basedOn w:val="ExecutiveSummary"/>
    <w:next w:val="Normal"/>
    <w:qFormat/>
    <w:rsid w:val="00CD4CAF"/>
  </w:style>
  <w:style w:type="paragraph" w:customStyle="1" w:styleId="Head40">
    <w:name w:val="Head4"/>
    <w:basedOn w:val="Normal"/>
    <w:next w:val="Normal"/>
    <w:qFormat/>
    <w:rsid w:val="00CD4CAF"/>
    <w:pPr>
      <w:spacing w:before="0" w:after="60"/>
    </w:pPr>
    <w:rPr>
      <w:rFonts w:cs="Courier New"/>
      <w:b/>
      <w:color w:val="000000" w:themeColor="text1"/>
      <w:sz w:val="22"/>
    </w:rPr>
  </w:style>
  <w:style w:type="paragraph" w:customStyle="1" w:styleId="Appendix10">
    <w:name w:val="Appendix1"/>
    <w:basedOn w:val="Normal"/>
    <w:next w:val="Normal"/>
    <w:qFormat/>
    <w:rsid w:val="00CD4CAF"/>
    <w:pPr>
      <w:tabs>
        <w:tab w:val="num" w:pos="3402"/>
      </w:tabs>
      <w:spacing w:before="3000" w:after="120"/>
      <w:ind w:left="1701" w:hanging="1701"/>
      <w:outlineLvl w:val="0"/>
    </w:pPr>
    <w:rPr>
      <w:rFonts w:ascii="Flama Cond Bold" w:hAnsi="Flama Cond Bold" w:cs="Courier New"/>
      <w:caps/>
      <w:color w:val="404040"/>
      <w:sz w:val="48"/>
    </w:rPr>
  </w:style>
  <w:style w:type="paragraph" w:customStyle="1" w:styleId="CoverText">
    <w:name w:val="CoverText"/>
    <w:basedOn w:val="Normal"/>
    <w:qFormat/>
    <w:rsid w:val="00CD4CAF"/>
    <w:pPr>
      <w:spacing w:before="0" w:after="0"/>
    </w:pPr>
    <w:rPr>
      <w:rFonts w:cs="Courier New"/>
      <w:caps/>
      <w:color w:val="FFFFFF"/>
    </w:rPr>
  </w:style>
  <w:style w:type="paragraph" w:customStyle="1" w:styleId="UrbisDisclaimerTitle">
    <w:name w:val="Urbis Disclaimer Title"/>
    <w:basedOn w:val="UrbisDisclaimer"/>
    <w:rsid w:val="00CD4CAF"/>
  </w:style>
  <w:style w:type="paragraph" w:customStyle="1" w:styleId="aLettered">
    <w:name w:val="(a) Lettered"/>
    <w:basedOn w:val="BodyText"/>
    <w:rsid w:val="00CD4CAF"/>
    <w:pPr>
      <w:tabs>
        <w:tab w:val="num" w:pos="357"/>
      </w:tabs>
      <w:spacing w:after="240"/>
      <w:ind w:left="357" w:hanging="357"/>
    </w:pPr>
    <w:rPr>
      <w:iCs/>
      <w:color w:val="404040"/>
    </w:rPr>
  </w:style>
  <w:style w:type="character" w:customStyle="1" w:styleId="BodyTextChar">
    <w:name w:val="Body Text Char"/>
    <w:basedOn w:val="DefaultParagraphFont"/>
    <w:link w:val="BodyText"/>
    <w:uiPriority w:val="99"/>
    <w:semiHidden/>
    <w:rsid w:val="00CD4CAF"/>
    <w:rPr>
      <w:rFonts w:ascii="Arial" w:hAnsi="Arial"/>
      <w:lang w:eastAsia="en-US"/>
    </w:rPr>
  </w:style>
  <w:style w:type="paragraph" w:customStyle="1" w:styleId="FooterFileNameEven">
    <w:name w:val="Footer File Name Even"/>
    <w:rsid w:val="00CD4CAF"/>
    <w:pPr>
      <w:ind w:right="113"/>
      <w:jc w:val="right"/>
    </w:pPr>
    <w:rPr>
      <w:rFonts w:ascii="Arial" w:hAnsi="Arial"/>
      <w:caps/>
      <w:color w:val="404040"/>
      <w:sz w:val="12"/>
      <w:szCs w:val="12"/>
      <w:lang w:eastAsia="en-US"/>
    </w:rPr>
  </w:style>
  <w:style w:type="paragraph" w:customStyle="1" w:styleId="FooterSectionName">
    <w:name w:val="Footer Section Name"/>
    <w:link w:val="FooterSectionNameChar"/>
    <w:rsid w:val="00CD4CAF"/>
    <w:rPr>
      <w:rFonts w:ascii="Arial" w:hAnsi="Arial" w:cs="Arial"/>
      <w:caps/>
      <w:color w:val="404040"/>
      <w:sz w:val="12"/>
      <w:lang w:eastAsia="en-US"/>
    </w:rPr>
  </w:style>
  <w:style w:type="character" w:customStyle="1" w:styleId="FooterSectionNameChar">
    <w:name w:val="Footer Section Name Char"/>
    <w:basedOn w:val="DefaultParagraphFont"/>
    <w:link w:val="FooterSectionName"/>
    <w:rsid w:val="00CD4CAF"/>
    <w:rPr>
      <w:rFonts w:ascii="Arial" w:hAnsi="Arial" w:cs="Arial"/>
      <w:caps/>
      <w:color w:val="404040"/>
      <w:sz w:val="12"/>
      <w:lang w:eastAsia="en-US"/>
    </w:rPr>
  </w:style>
  <w:style w:type="paragraph" w:customStyle="1" w:styleId="LetteredLista">
    <w:name w:val="Lettered_List_a"/>
    <w:basedOn w:val="Normal"/>
    <w:next w:val="Normal"/>
    <w:rsid w:val="00CD4CAF"/>
    <w:pPr>
      <w:tabs>
        <w:tab w:val="num" w:pos="357"/>
      </w:tabs>
      <w:spacing w:before="0" w:after="160"/>
      <w:ind w:left="357" w:hanging="357"/>
    </w:pPr>
    <w:rPr>
      <w:color w:val="404040"/>
      <w:szCs w:val="24"/>
    </w:rPr>
  </w:style>
  <w:style w:type="paragraph" w:styleId="ListBullet2">
    <w:name w:val="List Bullet 2"/>
    <w:aliases w:val="List_Bullet_2"/>
    <w:basedOn w:val="Normal"/>
    <w:rsid w:val="00CD4CAF"/>
    <w:pPr>
      <w:tabs>
        <w:tab w:val="num" w:pos="714"/>
      </w:tabs>
      <w:spacing w:before="0" w:after="160"/>
      <w:ind w:left="714" w:hanging="357"/>
    </w:pPr>
    <w:rPr>
      <w:color w:val="404040"/>
    </w:rPr>
  </w:style>
  <w:style w:type="paragraph" w:styleId="ListBullet3">
    <w:name w:val="List Bullet 3"/>
    <w:aliases w:val="List_Bullet_3"/>
    <w:basedOn w:val="Normal"/>
    <w:rsid w:val="00CD4CAF"/>
    <w:pPr>
      <w:tabs>
        <w:tab w:val="num" w:pos="1072"/>
      </w:tabs>
      <w:spacing w:before="0" w:after="160"/>
      <w:ind w:left="1071" w:hanging="357"/>
    </w:pPr>
    <w:rPr>
      <w:color w:val="404040"/>
    </w:rPr>
  </w:style>
  <w:style w:type="paragraph" w:styleId="ListBullet4">
    <w:name w:val="List Bullet 4"/>
    <w:aliases w:val="List_Bullet_4"/>
    <w:basedOn w:val="Normal"/>
    <w:rsid w:val="00CD4CAF"/>
    <w:pPr>
      <w:tabs>
        <w:tab w:val="num" w:pos="1429"/>
      </w:tabs>
      <w:spacing w:before="0" w:after="160"/>
      <w:ind w:left="1429" w:hanging="357"/>
    </w:pPr>
    <w:rPr>
      <w:color w:val="404040"/>
    </w:rPr>
  </w:style>
  <w:style w:type="paragraph" w:customStyle="1" w:styleId="PageNumber0">
    <w:name w:val="Page_Number"/>
    <w:basedOn w:val="Footer"/>
    <w:qFormat/>
    <w:rsid w:val="00CD4CAF"/>
    <w:pPr>
      <w:tabs>
        <w:tab w:val="clear" w:pos="4320"/>
        <w:tab w:val="clear" w:pos="8640"/>
        <w:tab w:val="center" w:pos="4513"/>
        <w:tab w:val="right" w:pos="9026"/>
      </w:tabs>
    </w:pPr>
    <w:rPr>
      <w:rFonts w:cs="Courier New"/>
      <w:color w:val="404040"/>
      <w:sz w:val="28"/>
      <w:szCs w:val="20"/>
    </w:rPr>
  </w:style>
  <w:style w:type="paragraph" w:customStyle="1" w:styleId="SectionNameLeft">
    <w:name w:val="Section Name Left"/>
    <w:link w:val="SectionNameLeftChar"/>
    <w:rsid w:val="00CD4CAF"/>
    <w:rPr>
      <w:rFonts w:ascii="Arial" w:hAnsi="Arial" w:cs="Arial"/>
      <w:caps/>
      <w:color w:val="404040"/>
      <w:sz w:val="12"/>
      <w:szCs w:val="16"/>
      <w:lang w:eastAsia="en-US"/>
    </w:rPr>
  </w:style>
  <w:style w:type="character" w:customStyle="1" w:styleId="SectionNameLeftChar">
    <w:name w:val="Section Name Left Char"/>
    <w:basedOn w:val="DefaultParagraphFont"/>
    <w:link w:val="SectionNameLeft"/>
    <w:rsid w:val="00CD4CAF"/>
    <w:rPr>
      <w:rFonts w:ascii="Arial" w:hAnsi="Arial" w:cs="Arial"/>
      <w:caps/>
      <w:color w:val="404040"/>
      <w:sz w:val="12"/>
      <w:szCs w:val="16"/>
      <w:lang w:eastAsia="en-US"/>
    </w:rPr>
  </w:style>
  <w:style w:type="paragraph" w:customStyle="1" w:styleId="SectionNameRight">
    <w:name w:val="Section Name Right"/>
    <w:link w:val="SectionNameRightCharChar"/>
    <w:rsid w:val="00CD4CAF"/>
    <w:pPr>
      <w:jc w:val="right"/>
    </w:pPr>
    <w:rPr>
      <w:rFonts w:ascii="Arial" w:hAnsi="Arial" w:cs="Arial"/>
      <w:caps/>
      <w:color w:val="404040"/>
      <w:sz w:val="12"/>
      <w:szCs w:val="16"/>
      <w:lang w:eastAsia="en-US"/>
    </w:rPr>
  </w:style>
  <w:style w:type="character" w:customStyle="1" w:styleId="SectionNameRightCharChar">
    <w:name w:val="Section Name Right Char Char"/>
    <w:link w:val="SectionNameRight"/>
    <w:rsid w:val="00CD4CAF"/>
    <w:rPr>
      <w:rFonts w:ascii="Arial" w:hAnsi="Arial" w:cs="Arial"/>
      <w:caps/>
      <w:color w:val="404040"/>
      <w:sz w:val="12"/>
      <w:szCs w:val="16"/>
      <w:lang w:eastAsia="en-US"/>
    </w:rPr>
  </w:style>
  <w:style w:type="paragraph" w:customStyle="1" w:styleId="Appendix20">
    <w:name w:val="Appendix2"/>
    <w:basedOn w:val="Appendix10"/>
    <w:next w:val="Normal"/>
    <w:rsid w:val="00CD4CAF"/>
  </w:style>
  <w:style w:type="paragraph" w:customStyle="1" w:styleId="Appendix30">
    <w:name w:val="Appendix3"/>
    <w:basedOn w:val="Appendix20"/>
    <w:next w:val="Normal"/>
    <w:link w:val="Appendix3Char0"/>
    <w:rsid w:val="00CD4CAF"/>
    <w:pPr>
      <w:keepNext/>
      <w:tabs>
        <w:tab w:val="left" w:pos="2183"/>
      </w:tabs>
      <w:spacing w:before="300"/>
      <w:outlineLvl w:val="9"/>
    </w:pPr>
    <w:rPr>
      <w:rFonts w:ascii="Arial" w:hAnsi="Arial" w:cs="Times New Roman"/>
      <w:b/>
      <w:color w:val="000000" w:themeColor="text1"/>
      <w:sz w:val="24"/>
      <w:szCs w:val="48"/>
    </w:rPr>
  </w:style>
  <w:style w:type="character" w:customStyle="1" w:styleId="Appendix3Char0">
    <w:name w:val="Appendix3 Char"/>
    <w:link w:val="Appendix30"/>
    <w:rsid w:val="00CD4CAF"/>
    <w:rPr>
      <w:rFonts w:ascii="Arial" w:hAnsi="Arial"/>
      <w:b/>
      <w:caps/>
      <w:color w:val="000000" w:themeColor="text1"/>
      <w:sz w:val="24"/>
      <w:szCs w:val="48"/>
      <w:lang w:eastAsia="en-US"/>
    </w:rPr>
  </w:style>
  <w:style w:type="paragraph" w:customStyle="1" w:styleId="Appendix40">
    <w:name w:val="Appendix4"/>
    <w:basedOn w:val="Appendix30"/>
    <w:next w:val="Normal"/>
    <w:rsid w:val="00CD4CAF"/>
    <w:pPr>
      <w:tabs>
        <w:tab w:val="clear" w:pos="3402"/>
        <w:tab w:val="num" w:pos="2880"/>
      </w:tabs>
      <w:ind w:left="2880" w:hanging="360"/>
    </w:pPr>
    <w:rPr>
      <w:sz w:val="22"/>
    </w:rPr>
  </w:style>
  <w:style w:type="paragraph" w:customStyle="1" w:styleId="NormalNumbered">
    <w:name w:val="Normal_Numbered"/>
    <w:basedOn w:val="Normal"/>
    <w:rsid w:val="00CD4CAF"/>
    <w:pPr>
      <w:tabs>
        <w:tab w:val="num" w:pos="714"/>
      </w:tabs>
      <w:ind w:left="714" w:hanging="714"/>
    </w:pPr>
  </w:style>
  <w:style w:type="paragraph" w:customStyle="1" w:styleId="HangingQuote">
    <w:name w:val="Hanging_Quote"/>
    <w:basedOn w:val="Normal"/>
    <w:rsid w:val="00CD4CAF"/>
    <w:pPr>
      <w:spacing w:before="180"/>
      <w:ind w:left="567" w:right="675"/>
    </w:pPr>
    <w:rPr>
      <w:i/>
      <w:color w:val="000000"/>
      <w:szCs w:val="24"/>
    </w:rPr>
  </w:style>
  <w:style w:type="table" w:styleId="LightShading">
    <w:name w:val="Light Shading"/>
    <w:basedOn w:val="TableNormal"/>
    <w:uiPriority w:val="60"/>
    <w:rsid w:val="00CD4CAF"/>
    <w:rPr>
      <w:rFonts w:ascii="Arial" w:hAnsi="Arial" w:cs="Courier New"/>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mageSource">
    <w:name w:val="Image Source"/>
    <w:basedOn w:val="Normal"/>
    <w:qFormat/>
    <w:rsid w:val="00CD4CAF"/>
    <w:pPr>
      <w:spacing w:before="0" w:after="160"/>
    </w:pPr>
    <w:rPr>
      <w:rFonts w:cs="Courier New"/>
      <w:i/>
      <w:color w:val="404040"/>
      <w:sz w:val="18"/>
    </w:rPr>
  </w:style>
  <w:style w:type="paragraph" w:styleId="CommentSubject">
    <w:name w:val="annotation subject"/>
    <w:basedOn w:val="CommentText"/>
    <w:next w:val="CommentText"/>
    <w:link w:val="CommentSubjectChar"/>
    <w:uiPriority w:val="99"/>
    <w:unhideWhenUsed/>
    <w:rsid w:val="00CD4CAF"/>
    <w:rPr>
      <w:b/>
      <w:bCs/>
    </w:rPr>
  </w:style>
  <w:style w:type="character" w:customStyle="1" w:styleId="CommentSubjectChar">
    <w:name w:val="Comment Subject Char"/>
    <w:basedOn w:val="CommentTextChar"/>
    <w:link w:val="CommentSubject"/>
    <w:uiPriority w:val="99"/>
    <w:rsid w:val="00CD4CAF"/>
    <w:rPr>
      <w:rFonts w:ascii="Arial" w:hAnsi="Arial" w:cs="Courier New"/>
      <w:b/>
      <w:bCs/>
      <w:color w:val="404040"/>
      <w:lang w:eastAsia="en-US"/>
    </w:rPr>
  </w:style>
  <w:style w:type="paragraph" w:customStyle="1" w:styleId="Head4no">
    <w:name w:val="Head 4 (no #)"/>
    <w:basedOn w:val="Normal"/>
    <w:next w:val="Normal"/>
    <w:rsid w:val="00CD4CAF"/>
    <w:pPr>
      <w:keepNext/>
      <w:spacing w:before="180" w:after="60"/>
    </w:pPr>
    <w:rPr>
      <w:caps/>
      <w:color w:val="666666"/>
      <w:sz w:val="22"/>
      <w:szCs w:val="22"/>
    </w:rPr>
  </w:style>
  <w:style w:type="paragraph" w:customStyle="1" w:styleId="Default">
    <w:name w:val="Default"/>
    <w:rsid w:val="00CD4CAF"/>
    <w:pPr>
      <w:autoSpaceDE w:val="0"/>
      <w:autoSpaceDN w:val="0"/>
      <w:adjustRightInd w:val="0"/>
    </w:pPr>
    <w:rPr>
      <w:rFonts w:ascii="Calibri" w:hAnsi="Calibri" w:cs="Calibri"/>
      <w:color w:val="000000"/>
      <w:sz w:val="24"/>
      <w:szCs w:val="24"/>
      <w:lang w:eastAsia="en-US"/>
    </w:rPr>
  </w:style>
  <w:style w:type="paragraph" w:styleId="Bibliography">
    <w:name w:val="Bibliography"/>
    <w:basedOn w:val="Normal"/>
    <w:next w:val="Normal"/>
    <w:uiPriority w:val="37"/>
    <w:unhideWhenUsed/>
    <w:rsid w:val="00CD4CAF"/>
    <w:pPr>
      <w:spacing w:before="0" w:after="160"/>
    </w:pPr>
    <w:rPr>
      <w:rFonts w:cs="Courier New"/>
      <w:color w:val="404040"/>
    </w:rPr>
  </w:style>
  <w:style w:type="paragraph" w:customStyle="1" w:styleId="EndNoteBibliography">
    <w:name w:val="EndNote Bibliography"/>
    <w:basedOn w:val="Normal"/>
    <w:link w:val="EndNoteBibliographyChar"/>
    <w:rsid w:val="00CD4CAF"/>
    <w:rPr>
      <w:rFonts w:cs="Arial"/>
      <w:noProof/>
      <w:lang w:val="en-US"/>
    </w:rPr>
  </w:style>
  <w:style w:type="character" w:customStyle="1" w:styleId="EndNoteBibliographyChar">
    <w:name w:val="EndNote Bibliography Char"/>
    <w:basedOn w:val="DefaultParagraphFont"/>
    <w:link w:val="EndNoteBibliography"/>
    <w:rsid w:val="00CD4CAF"/>
    <w:rPr>
      <w:rFonts w:ascii="Arial" w:hAnsi="Arial" w:cs="Arial"/>
      <w:noProof/>
      <w:lang w:val="en-US" w:eastAsia="en-US"/>
    </w:rPr>
  </w:style>
  <w:style w:type="character" w:customStyle="1" w:styleId="apple-converted-space">
    <w:name w:val="apple-converted-space"/>
    <w:basedOn w:val="DefaultParagraphFont"/>
    <w:rsid w:val="00CD4CAF"/>
  </w:style>
  <w:style w:type="table" w:customStyle="1" w:styleId="TableGrid10">
    <w:name w:val="Table Grid1"/>
    <w:basedOn w:val="TableNormal"/>
    <w:next w:val="TableGrid"/>
    <w:rsid w:val="00CD4CAF"/>
    <w:pPr>
      <w:spacing w:after="200" w:line="280" w:lineRule="exact"/>
      <w:ind w:left="108"/>
    </w:pPr>
    <w:rPr>
      <w:rFonts w:ascii="Arial" w:hAnsi="Arial"/>
      <w:sz w:val="18"/>
    </w:rPr>
    <w:tblPr>
      <w:tblStyleRow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left w:w="0" w:type="dxa"/>
        <w:right w:w="0" w:type="dxa"/>
      </w:tblCellMar>
    </w:tblPr>
    <w:tblStylePr w:type="firstRow">
      <w:pPr>
        <w:wordWrap/>
        <w:spacing w:afterLines="0" w:afterAutospacing="0" w:line="280" w:lineRule="exact"/>
        <w:ind w:leftChars="0" w:left="108"/>
        <w:contextualSpacing w:val="0"/>
      </w:pPr>
      <w:rPr>
        <w:rFonts w:ascii="Arial" w:hAnsi="Arial"/>
        <w:caps/>
        <w:smallCaps w:val="0"/>
        <w:strike w:val="0"/>
        <w:dstrike w:val="0"/>
        <w:vanish w:val="0"/>
        <w:color w:val="009FE3"/>
        <w:sz w:val="18"/>
        <w:vertAlign w:val="baseline"/>
      </w:rPr>
    </w:tblStylePr>
    <w:tblStylePr w:type="band1Horz">
      <w:tblPr/>
      <w:tcPr>
        <w:shd w:val="clear" w:color="auto" w:fill="F3F3F3"/>
      </w:tcPr>
    </w:tblStylePr>
  </w:style>
  <w:style w:type="paragraph" w:styleId="Revision">
    <w:name w:val="Revision"/>
    <w:hidden/>
    <w:uiPriority w:val="99"/>
    <w:semiHidden/>
    <w:rsid w:val="00D14BF8"/>
    <w:rPr>
      <w:rFonts w:ascii="Arial" w:hAnsi="Arial" w:cs="Courier New"/>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450">
      <w:bodyDiv w:val="1"/>
      <w:marLeft w:val="0"/>
      <w:marRight w:val="0"/>
      <w:marTop w:val="0"/>
      <w:marBottom w:val="0"/>
      <w:divBdr>
        <w:top w:val="none" w:sz="0" w:space="0" w:color="auto"/>
        <w:left w:val="none" w:sz="0" w:space="0" w:color="auto"/>
        <w:bottom w:val="none" w:sz="0" w:space="0" w:color="auto"/>
        <w:right w:val="none" w:sz="0" w:space="0" w:color="auto"/>
      </w:divBdr>
    </w:div>
    <w:div w:id="135731050">
      <w:bodyDiv w:val="1"/>
      <w:marLeft w:val="0"/>
      <w:marRight w:val="0"/>
      <w:marTop w:val="0"/>
      <w:marBottom w:val="0"/>
      <w:divBdr>
        <w:top w:val="none" w:sz="0" w:space="0" w:color="auto"/>
        <w:left w:val="none" w:sz="0" w:space="0" w:color="auto"/>
        <w:bottom w:val="none" w:sz="0" w:space="0" w:color="auto"/>
        <w:right w:val="none" w:sz="0" w:space="0" w:color="auto"/>
      </w:divBdr>
    </w:div>
    <w:div w:id="235557962">
      <w:bodyDiv w:val="1"/>
      <w:marLeft w:val="0"/>
      <w:marRight w:val="0"/>
      <w:marTop w:val="0"/>
      <w:marBottom w:val="0"/>
      <w:divBdr>
        <w:top w:val="none" w:sz="0" w:space="0" w:color="auto"/>
        <w:left w:val="none" w:sz="0" w:space="0" w:color="auto"/>
        <w:bottom w:val="none" w:sz="0" w:space="0" w:color="auto"/>
        <w:right w:val="none" w:sz="0" w:space="0" w:color="auto"/>
      </w:divBdr>
    </w:div>
    <w:div w:id="367486233">
      <w:bodyDiv w:val="1"/>
      <w:marLeft w:val="0"/>
      <w:marRight w:val="0"/>
      <w:marTop w:val="0"/>
      <w:marBottom w:val="0"/>
      <w:divBdr>
        <w:top w:val="none" w:sz="0" w:space="0" w:color="auto"/>
        <w:left w:val="none" w:sz="0" w:space="0" w:color="auto"/>
        <w:bottom w:val="none" w:sz="0" w:space="0" w:color="auto"/>
        <w:right w:val="none" w:sz="0" w:space="0" w:color="auto"/>
      </w:divBdr>
    </w:div>
    <w:div w:id="473451715">
      <w:bodyDiv w:val="1"/>
      <w:marLeft w:val="0"/>
      <w:marRight w:val="0"/>
      <w:marTop w:val="0"/>
      <w:marBottom w:val="0"/>
      <w:divBdr>
        <w:top w:val="none" w:sz="0" w:space="0" w:color="auto"/>
        <w:left w:val="none" w:sz="0" w:space="0" w:color="auto"/>
        <w:bottom w:val="none" w:sz="0" w:space="0" w:color="auto"/>
        <w:right w:val="none" w:sz="0" w:space="0" w:color="auto"/>
      </w:divBdr>
    </w:div>
    <w:div w:id="557595251">
      <w:bodyDiv w:val="1"/>
      <w:marLeft w:val="0"/>
      <w:marRight w:val="0"/>
      <w:marTop w:val="0"/>
      <w:marBottom w:val="0"/>
      <w:divBdr>
        <w:top w:val="none" w:sz="0" w:space="0" w:color="auto"/>
        <w:left w:val="none" w:sz="0" w:space="0" w:color="auto"/>
        <w:bottom w:val="none" w:sz="0" w:space="0" w:color="auto"/>
        <w:right w:val="none" w:sz="0" w:space="0" w:color="auto"/>
      </w:divBdr>
    </w:div>
    <w:div w:id="632373763">
      <w:bodyDiv w:val="1"/>
      <w:marLeft w:val="0"/>
      <w:marRight w:val="0"/>
      <w:marTop w:val="0"/>
      <w:marBottom w:val="0"/>
      <w:divBdr>
        <w:top w:val="none" w:sz="0" w:space="0" w:color="auto"/>
        <w:left w:val="none" w:sz="0" w:space="0" w:color="auto"/>
        <w:bottom w:val="none" w:sz="0" w:space="0" w:color="auto"/>
        <w:right w:val="none" w:sz="0" w:space="0" w:color="auto"/>
      </w:divBdr>
    </w:div>
    <w:div w:id="689571191">
      <w:bodyDiv w:val="1"/>
      <w:marLeft w:val="0"/>
      <w:marRight w:val="0"/>
      <w:marTop w:val="0"/>
      <w:marBottom w:val="0"/>
      <w:divBdr>
        <w:top w:val="none" w:sz="0" w:space="0" w:color="auto"/>
        <w:left w:val="none" w:sz="0" w:space="0" w:color="auto"/>
        <w:bottom w:val="none" w:sz="0" w:space="0" w:color="auto"/>
        <w:right w:val="none" w:sz="0" w:space="0" w:color="auto"/>
      </w:divBdr>
    </w:div>
    <w:div w:id="699011842">
      <w:bodyDiv w:val="1"/>
      <w:marLeft w:val="0"/>
      <w:marRight w:val="0"/>
      <w:marTop w:val="0"/>
      <w:marBottom w:val="0"/>
      <w:divBdr>
        <w:top w:val="none" w:sz="0" w:space="0" w:color="auto"/>
        <w:left w:val="none" w:sz="0" w:space="0" w:color="auto"/>
        <w:bottom w:val="none" w:sz="0" w:space="0" w:color="auto"/>
        <w:right w:val="none" w:sz="0" w:space="0" w:color="auto"/>
      </w:divBdr>
    </w:div>
    <w:div w:id="709650017">
      <w:bodyDiv w:val="1"/>
      <w:marLeft w:val="0"/>
      <w:marRight w:val="0"/>
      <w:marTop w:val="0"/>
      <w:marBottom w:val="0"/>
      <w:divBdr>
        <w:top w:val="none" w:sz="0" w:space="0" w:color="auto"/>
        <w:left w:val="none" w:sz="0" w:space="0" w:color="auto"/>
        <w:bottom w:val="none" w:sz="0" w:space="0" w:color="auto"/>
        <w:right w:val="none" w:sz="0" w:space="0" w:color="auto"/>
      </w:divBdr>
    </w:div>
    <w:div w:id="726298790">
      <w:bodyDiv w:val="1"/>
      <w:marLeft w:val="0"/>
      <w:marRight w:val="0"/>
      <w:marTop w:val="0"/>
      <w:marBottom w:val="0"/>
      <w:divBdr>
        <w:top w:val="none" w:sz="0" w:space="0" w:color="auto"/>
        <w:left w:val="none" w:sz="0" w:space="0" w:color="auto"/>
        <w:bottom w:val="none" w:sz="0" w:space="0" w:color="auto"/>
        <w:right w:val="none" w:sz="0" w:space="0" w:color="auto"/>
      </w:divBdr>
    </w:div>
    <w:div w:id="740906346">
      <w:bodyDiv w:val="1"/>
      <w:marLeft w:val="0"/>
      <w:marRight w:val="0"/>
      <w:marTop w:val="0"/>
      <w:marBottom w:val="0"/>
      <w:divBdr>
        <w:top w:val="none" w:sz="0" w:space="0" w:color="auto"/>
        <w:left w:val="none" w:sz="0" w:space="0" w:color="auto"/>
        <w:bottom w:val="none" w:sz="0" w:space="0" w:color="auto"/>
        <w:right w:val="none" w:sz="0" w:space="0" w:color="auto"/>
      </w:divBdr>
    </w:div>
    <w:div w:id="787940635">
      <w:bodyDiv w:val="1"/>
      <w:marLeft w:val="0"/>
      <w:marRight w:val="0"/>
      <w:marTop w:val="0"/>
      <w:marBottom w:val="0"/>
      <w:divBdr>
        <w:top w:val="none" w:sz="0" w:space="0" w:color="auto"/>
        <w:left w:val="none" w:sz="0" w:space="0" w:color="auto"/>
        <w:bottom w:val="none" w:sz="0" w:space="0" w:color="auto"/>
        <w:right w:val="none" w:sz="0" w:space="0" w:color="auto"/>
      </w:divBdr>
    </w:div>
    <w:div w:id="807208749">
      <w:bodyDiv w:val="1"/>
      <w:marLeft w:val="0"/>
      <w:marRight w:val="0"/>
      <w:marTop w:val="0"/>
      <w:marBottom w:val="0"/>
      <w:divBdr>
        <w:top w:val="none" w:sz="0" w:space="0" w:color="auto"/>
        <w:left w:val="none" w:sz="0" w:space="0" w:color="auto"/>
        <w:bottom w:val="none" w:sz="0" w:space="0" w:color="auto"/>
        <w:right w:val="none" w:sz="0" w:space="0" w:color="auto"/>
      </w:divBdr>
    </w:div>
    <w:div w:id="821240202">
      <w:bodyDiv w:val="1"/>
      <w:marLeft w:val="0"/>
      <w:marRight w:val="0"/>
      <w:marTop w:val="0"/>
      <w:marBottom w:val="0"/>
      <w:divBdr>
        <w:top w:val="none" w:sz="0" w:space="0" w:color="auto"/>
        <w:left w:val="none" w:sz="0" w:space="0" w:color="auto"/>
        <w:bottom w:val="none" w:sz="0" w:space="0" w:color="auto"/>
        <w:right w:val="none" w:sz="0" w:space="0" w:color="auto"/>
      </w:divBdr>
    </w:div>
    <w:div w:id="840465832">
      <w:bodyDiv w:val="1"/>
      <w:marLeft w:val="0"/>
      <w:marRight w:val="0"/>
      <w:marTop w:val="0"/>
      <w:marBottom w:val="0"/>
      <w:divBdr>
        <w:top w:val="none" w:sz="0" w:space="0" w:color="auto"/>
        <w:left w:val="none" w:sz="0" w:space="0" w:color="auto"/>
        <w:bottom w:val="none" w:sz="0" w:space="0" w:color="auto"/>
        <w:right w:val="none" w:sz="0" w:space="0" w:color="auto"/>
      </w:divBdr>
    </w:div>
    <w:div w:id="928122440">
      <w:bodyDiv w:val="1"/>
      <w:marLeft w:val="0"/>
      <w:marRight w:val="0"/>
      <w:marTop w:val="0"/>
      <w:marBottom w:val="0"/>
      <w:divBdr>
        <w:top w:val="none" w:sz="0" w:space="0" w:color="auto"/>
        <w:left w:val="none" w:sz="0" w:space="0" w:color="auto"/>
        <w:bottom w:val="none" w:sz="0" w:space="0" w:color="auto"/>
        <w:right w:val="none" w:sz="0" w:space="0" w:color="auto"/>
      </w:divBdr>
    </w:div>
    <w:div w:id="970747564">
      <w:bodyDiv w:val="1"/>
      <w:marLeft w:val="0"/>
      <w:marRight w:val="0"/>
      <w:marTop w:val="0"/>
      <w:marBottom w:val="0"/>
      <w:divBdr>
        <w:top w:val="none" w:sz="0" w:space="0" w:color="auto"/>
        <w:left w:val="none" w:sz="0" w:space="0" w:color="auto"/>
        <w:bottom w:val="none" w:sz="0" w:space="0" w:color="auto"/>
        <w:right w:val="none" w:sz="0" w:space="0" w:color="auto"/>
      </w:divBdr>
    </w:div>
    <w:div w:id="985742882">
      <w:bodyDiv w:val="1"/>
      <w:marLeft w:val="0"/>
      <w:marRight w:val="0"/>
      <w:marTop w:val="0"/>
      <w:marBottom w:val="0"/>
      <w:divBdr>
        <w:top w:val="none" w:sz="0" w:space="0" w:color="auto"/>
        <w:left w:val="none" w:sz="0" w:space="0" w:color="auto"/>
        <w:bottom w:val="none" w:sz="0" w:space="0" w:color="auto"/>
        <w:right w:val="none" w:sz="0" w:space="0" w:color="auto"/>
      </w:divBdr>
    </w:div>
    <w:div w:id="997853318">
      <w:bodyDiv w:val="1"/>
      <w:marLeft w:val="0"/>
      <w:marRight w:val="0"/>
      <w:marTop w:val="0"/>
      <w:marBottom w:val="0"/>
      <w:divBdr>
        <w:top w:val="none" w:sz="0" w:space="0" w:color="auto"/>
        <w:left w:val="none" w:sz="0" w:space="0" w:color="auto"/>
        <w:bottom w:val="none" w:sz="0" w:space="0" w:color="auto"/>
        <w:right w:val="none" w:sz="0" w:space="0" w:color="auto"/>
      </w:divBdr>
    </w:div>
    <w:div w:id="1077440359">
      <w:bodyDiv w:val="1"/>
      <w:marLeft w:val="0"/>
      <w:marRight w:val="0"/>
      <w:marTop w:val="0"/>
      <w:marBottom w:val="0"/>
      <w:divBdr>
        <w:top w:val="none" w:sz="0" w:space="0" w:color="auto"/>
        <w:left w:val="none" w:sz="0" w:space="0" w:color="auto"/>
        <w:bottom w:val="none" w:sz="0" w:space="0" w:color="auto"/>
        <w:right w:val="none" w:sz="0" w:space="0" w:color="auto"/>
      </w:divBdr>
    </w:div>
    <w:div w:id="1116174308">
      <w:bodyDiv w:val="1"/>
      <w:marLeft w:val="0"/>
      <w:marRight w:val="0"/>
      <w:marTop w:val="0"/>
      <w:marBottom w:val="0"/>
      <w:divBdr>
        <w:top w:val="none" w:sz="0" w:space="0" w:color="auto"/>
        <w:left w:val="none" w:sz="0" w:space="0" w:color="auto"/>
        <w:bottom w:val="none" w:sz="0" w:space="0" w:color="auto"/>
        <w:right w:val="none" w:sz="0" w:space="0" w:color="auto"/>
      </w:divBdr>
    </w:div>
    <w:div w:id="1128544422">
      <w:bodyDiv w:val="1"/>
      <w:marLeft w:val="0"/>
      <w:marRight w:val="0"/>
      <w:marTop w:val="0"/>
      <w:marBottom w:val="0"/>
      <w:divBdr>
        <w:top w:val="none" w:sz="0" w:space="0" w:color="auto"/>
        <w:left w:val="none" w:sz="0" w:space="0" w:color="auto"/>
        <w:bottom w:val="none" w:sz="0" w:space="0" w:color="auto"/>
        <w:right w:val="none" w:sz="0" w:space="0" w:color="auto"/>
      </w:divBdr>
    </w:div>
    <w:div w:id="1155535686">
      <w:bodyDiv w:val="1"/>
      <w:marLeft w:val="0"/>
      <w:marRight w:val="0"/>
      <w:marTop w:val="0"/>
      <w:marBottom w:val="0"/>
      <w:divBdr>
        <w:top w:val="none" w:sz="0" w:space="0" w:color="auto"/>
        <w:left w:val="none" w:sz="0" w:space="0" w:color="auto"/>
        <w:bottom w:val="none" w:sz="0" w:space="0" w:color="auto"/>
        <w:right w:val="none" w:sz="0" w:space="0" w:color="auto"/>
      </w:divBdr>
    </w:div>
    <w:div w:id="1371225901">
      <w:bodyDiv w:val="1"/>
      <w:marLeft w:val="0"/>
      <w:marRight w:val="0"/>
      <w:marTop w:val="0"/>
      <w:marBottom w:val="0"/>
      <w:divBdr>
        <w:top w:val="none" w:sz="0" w:space="0" w:color="auto"/>
        <w:left w:val="none" w:sz="0" w:space="0" w:color="auto"/>
        <w:bottom w:val="none" w:sz="0" w:space="0" w:color="auto"/>
        <w:right w:val="none" w:sz="0" w:space="0" w:color="auto"/>
      </w:divBdr>
    </w:div>
    <w:div w:id="1382746708">
      <w:bodyDiv w:val="1"/>
      <w:marLeft w:val="0"/>
      <w:marRight w:val="0"/>
      <w:marTop w:val="0"/>
      <w:marBottom w:val="0"/>
      <w:divBdr>
        <w:top w:val="none" w:sz="0" w:space="0" w:color="auto"/>
        <w:left w:val="none" w:sz="0" w:space="0" w:color="auto"/>
        <w:bottom w:val="none" w:sz="0" w:space="0" w:color="auto"/>
        <w:right w:val="none" w:sz="0" w:space="0" w:color="auto"/>
      </w:divBdr>
    </w:div>
    <w:div w:id="1427732122">
      <w:bodyDiv w:val="1"/>
      <w:marLeft w:val="0"/>
      <w:marRight w:val="0"/>
      <w:marTop w:val="0"/>
      <w:marBottom w:val="0"/>
      <w:divBdr>
        <w:top w:val="none" w:sz="0" w:space="0" w:color="auto"/>
        <w:left w:val="none" w:sz="0" w:space="0" w:color="auto"/>
        <w:bottom w:val="none" w:sz="0" w:space="0" w:color="auto"/>
        <w:right w:val="none" w:sz="0" w:space="0" w:color="auto"/>
      </w:divBdr>
    </w:div>
    <w:div w:id="1442532149">
      <w:bodyDiv w:val="1"/>
      <w:marLeft w:val="0"/>
      <w:marRight w:val="0"/>
      <w:marTop w:val="0"/>
      <w:marBottom w:val="0"/>
      <w:divBdr>
        <w:top w:val="none" w:sz="0" w:space="0" w:color="auto"/>
        <w:left w:val="none" w:sz="0" w:space="0" w:color="auto"/>
        <w:bottom w:val="none" w:sz="0" w:space="0" w:color="auto"/>
        <w:right w:val="none" w:sz="0" w:space="0" w:color="auto"/>
      </w:divBdr>
    </w:div>
    <w:div w:id="1451319657">
      <w:bodyDiv w:val="1"/>
      <w:marLeft w:val="0"/>
      <w:marRight w:val="0"/>
      <w:marTop w:val="0"/>
      <w:marBottom w:val="0"/>
      <w:divBdr>
        <w:top w:val="none" w:sz="0" w:space="0" w:color="auto"/>
        <w:left w:val="none" w:sz="0" w:space="0" w:color="auto"/>
        <w:bottom w:val="none" w:sz="0" w:space="0" w:color="auto"/>
        <w:right w:val="none" w:sz="0" w:space="0" w:color="auto"/>
      </w:divBdr>
    </w:div>
    <w:div w:id="1642611509">
      <w:bodyDiv w:val="1"/>
      <w:marLeft w:val="0"/>
      <w:marRight w:val="0"/>
      <w:marTop w:val="0"/>
      <w:marBottom w:val="0"/>
      <w:divBdr>
        <w:top w:val="none" w:sz="0" w:space="0" w:color="auto"/>
        <w:left w:val="none" w:sz="0" w:space="0" w:color="auto"/>
        <w:bottom w:val="none" w:sz="0" w:space="0" w:color="auto"/>
        <w:right w:val="none" w:sz="0" w:space="0" w:color="auto"/>
      </w:divBdr>
    </w:div>
    <w:div w:id="1649898458">
      <w:bodyDiv w:val="1"/>
      <w:marLeft w:val="0"/>
      <w:marRight w:val="0"/>
      <w:marTop w:val="0"/>
      <w:marBottom w:val="0"/>
      <w:divBdr>
        <w:top w:val="none" w:sz="0" w:space="0" w:color="auto"/>
        <w:left w:val="none" w:sz="0" w:space="0" w:color="auto"/>
        <w:bottom w:val="none" w:sz="0" w:space="0" w:color="auto"/>
        <w:right w:val="none" w:sz="0" w:space="0" w:color="auto"/>
      </w:divBdr>
    </w:div>
    <w:div w:id="1711373799">
      <w:bodyDiv w:val="1"/>
      <w:marLeft w:val="0"/>
      <w:marRight w:val="0"/>
      <w:marTop w:val="0"/>
      <w:marBottom w:val="0"/>
      <w:divBdr>
        <w:top w:val="none" w:sz="0" w:space="0" w:color="auto"/>
        <w:left w:val="none" w:sz="0" w:space="0" w:color="auto"/>
        <w:bottom w:val="none" w:sz="0" w:space="0" w:color="auto"/>
        <w:right w:val="none" w:sz="0" w:space="0" w:color="auto"/>
      </w:divBdr>
    </w:div>
    <w:div w:id="1750690662">
      <w:bodyDiv w:val="1"/>
      <w:marLeft w:val="0"/>
      <w:marRight w:val="0"/>
      <w:marTop w:val="0"/>
      <w:marBottom w:val="0"/>
      <w:divBdr>
        <w:top w:val="none" w:sz="0" w:space="0" w:color="auto"/>
        <w:left w:val="none" w:sz="0" w:space="0" w:color="auto"/>
        <w:bottom w:val="none" w:sz="0" w:space="0" w:color="auto"/>
        <w:right w:val="none" w:sz="0" w:space="0" w:color="auto"/>
      </w:divBdr>
    </w:div>
    <w:div w:id="1769815277">
      <w:bodyDiv w:val="1"/>
      <w:marLeft w:val="0"/>
      <w:marRight w:val="0"/>
      <w:marTop w:val="0"/>
      <w:marBottom w:val="0"/>
      <w:divBdr>
        <w:top w:val="none" w:sz="0" w:space="0" w:color="auto"/>
        <w:left w:val="none" w:sz="0" w:space="0" w:color="auto"/>
        <w:bottom w:val="none" w:sz="0" w:space="0" w:color="auto"/>
        <w:right w:val="none" w:sz="0" w:space="0" w:color="auto"/>
      </w:divBdr>
    </w:div>
    <w:div w:id="1788546075">
      <w:bodyDiv w:val="1"/>
      <w:marLeft w:val="0"/>
      <w:marRight w:val="0"/>
      <w:marTop w:val="0"/>
      <w:marBottom w:val="0"/>
      <w:divBdr>
        <w:top w:val="none" w:sz="0" w:space="0" w:color="auto"/>
        <w:left w:val="none" w:sz="0" w:space="0" w:color="auto"/>
        <w:bottom w:val="none" w:sz="0" w:space="0" w:color="auto"/>
        <w:right w:val="none" w:sz="0" w:space="0" w:color="auto"/>
      </w:divBdr>
    </w:div>
    <w:div w:id="1919825584">
      <w:bodyDiv w:val="1"/>
      <w:marLeft w:val="0"/>
      <w:marRight w:val="0"/>
      <w:marTop w:val="0"/>
      <w:marBottom w:val="0"/>
      <w:divBdr>
        <w:top w:val="none" w:sz="0" w:space="0" w:color="auto"/>
        <w:left w:val="none" w:sz="0" w:space="0" w:color="auto"/>
        <w:bottom w:val="none" w:sz="0" w:space="0" w:color="auto"/>
        <w:right w:val="none" w:sz="0" w:space="0" w:color="auto"/>
      </w:divBdr>
    </w:div>
    <w:div w:id="2011180394">
      <w:bodyDiv w:val="1"/>
      <w:marLeft w:val="0"/>
      <w:marRight w:val="0"/>
      <w:marTop w:val="0"/>
      <w:marBottom w:val="0"/>
      <w:divBdr>
        <w:top w:val="none" w:sz="0" w:space="0" w:color="auto"/>
        <w:left w:val="none" w:sz="0" w:space="0" w:color="auto"/>
        <w:bottom w:val="none" w:sz="0" w:space="0" w:color="auto"/>
        <w:right w:val="none" w:sz="0" w:space="0" w:color="auto"/>
      </w:divBdr>
    </w:div>
    <w:div w:id="20723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s://www.fairwork.gov.au/how-we-will-help/templates-and-guides/fact-sheets/minimum-workplace-entitlements/minimum-wages" TargetMode="Externa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yperlink" Target="Getting%20help%20&#8211;%20how%20much%20does%20it%20cost?%20http://resources.beyondblue.org.au/prism/file?token=BL/0114" TargetMode="External"/><Relationship Id="rId42" Type="http://schemas.openxmlformats.org/officeDocument/2006/relationships/footer" Target="footer15.xml"/><Relationship Id="rId47" Type="http://schemas.openxmlformats.org/officeDocument/2006/relationships/hyperlink" Target="mailto:info@urbis.com.au" TargetMode="External"/><Relationship Id="rId50" Type="http://schemas.openxmlformats.org/officeDocument/2006/relationships/footer" Target="footer1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4.xml"/><Relationship Id="rId38" Type="http://schemas.openxmlformats.org/officeDocument/2006/relationships/hyperlink" Target="https://www.fairwork.gov.au/how-we-will-help/templates-and-guides/fact-sheets/minimum-workplace-entitlements/minimum-wages" TargetMode="External"/><Relationship Id="rId46" Type="http://schemas.openxmlformats.org/officeDocument/2006/relationships/hyperlink" Target="http://www.urbis.com.au/" TargetMode="Externa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yperlink" Target="https://www.fairwork.gov.au/how-we-will-help/templates-and-guides/fact-sheets/minimum-workplace-entitlements/minimum-wages"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yperlink" Target="Small%20Biz%20Connect%20http:/www.smallbusiness.nsw.gov.au/supporting-business/small-biz-connect-advisory-program" TargetMode="External"/><Relationship Id="rId40" Type="http://schemas.openxmlformats.org/officeDocument/2006/relationships/hyperlink" Target="Computer%20Basics%20Courses%20https:/cce.sydney.edu.au/courses/information-technology/computer-basics" TargetMode="External"/><Relationship Id="rId45" Type="http://schemas.openxmlformats.org/officeDocument/2006/relationships/footer" Target="footer18.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http://www.gatewaycommunityservices.org.au/" TargetMode="External"/><Relationship Id="rId49" Type="http://schemas.openxmlformats.org/officeDocument/2006/relationships/header" Target="header10.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yperlink" Target="Getting%20help%20&#8211;%20how%20much%20does%20it%20cost?%20http://resources.beyondblue.org.au/prism/file?token=BL/0114" TargetMode="External"/><Relationship Id="rId43" Type="http://schemas.openxmlformats.org/officeDocument/2006/relationships/footer" Target="footer16.xml"/><Relationship Id="rId48"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footer" Target="footer20.xml"/></Relationships>
</file>

<file path=word/_rels/footnotes.xml.rels><?xml version="1.0" encoding="UTF-8" standalone="yes"?>
<Relationships xmlns="http://schemas.openxmlformats.org/package/2006/relationships"><Relationship Id="rId3" Type="http://schemas.openxmlformats.org/officeDocument/2006/relationships/hyperlink" Target="http://www.and.org.au/pages/resources-disability-confidence-275-maximising-your-markets-278.html" TargetMode="External"/><Relationship Id="rId2" Type="http://schemas.openxmlformats.org/officeDocument/2006/relationships/hyperlink" Target="Business%20Disability%20Forum%202014,%20The%20evidence%20http:/businessdisabilityforum.org.uk/customer-experience/the-evidence" TargetMode="External"/><Relationship Id="rId1" Type="http://schemas.openxmlformats.org/officeDocument/2006/relationships/hyperlink" Target="The%20benefits%20of%20building%20barrier-free:%20a%20contingent%20valuation%20of%20accessibility%20as%20an%20attribute%20of%20housing%20http:/www.tandfonline.com/doi/citedby/10.1080/14616710110120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SA\ESA%20Tender%20Template%20Accessible.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a:noFill/>
        </a:ln>
        <a:extLst/>
      </a:spPr>
      <a:bodyPr rot="0" vert="horz" wrap="square" lIns="90000" tIns="46800" rIns="90000" bIns="4680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Wor16</b:Tag>
    <b:SourceType>InternetSite</b:SourceType>
    <b:Guid>{CCA66C96-A344-4B10-A2BE-5E78CD7728D6}</b:Guid>
    <b:Title>WHO Definition of Palliative Care</b:Title>
    <b:Year>2016</b:Year>
    <b:Author>
      <b:Author>
        <b:Corporate>World Health Organization</b:Corporate>
      </b:Author>
    </b:Author>
    <b:InternetSiteTitle>World Health Organization</b:InternetSiteTitle>
    <b:YearAccessed>2016</b:YearAccessed>
    <b:MonthAccessed>June</b:MonthAccessed>
    <b:DayAccessed>2</b:DayAccessed>
    <b:URL>http://www.who.int/cancer/palliative/definition/en/</b:URL>
    <b:RefOrder>1</b:RefOrder>
  </b:Source>
  <b:Source>
    <b:Tag>Com00</b:Tag>
    <b:SourceType>Book</b:SourceType>
    <b:Guid>{81A33074-3183-49FE-96AC-3913522334FA}</b:Guid>
    <b:Author>
      <b:Author>
        <b:NameList>
          <b:Person>
            <b:Last>Department of Health and Ageing</b:Last>
          </b:Person>
        </b:NameList>
      </b:Author>
    </b:Author>
    <b:Title>National Palliative Care Strategy: A framework for palliative care service development</b:Title>
    <b:Year>2000</b:Year>
    <b:Publisher>Department of Health and Ageing</b:Publisher>
    <b:City>Canberra</b:City>
    <b:RefOrder>2</b:RefOrder>
  </b:Source>
  <b:Source>
    <b:Tag>Com10</b:Tag>
    <b:SourceType>Report</b:SourceType>
    <b:Guid>{69B3E868-9CE4-4F57-9E99-CCD6B36321CB}</b:Guid>
    <b:Title>Supporting Australians to Live Well at the End of Life: National Palliative Care Strategy 2010</b:Title>
    <b:Year>2010</b:Year>
    <b:Publisher>DoHA</b:Publisher>
    <b:Author>
      <b:Author>
        <b:NameList>
          <b:Person>
            <b:Last>Department of Health and Ageing</b:Last>
          </b:Person>
        </b:NameList>
      </b:Author>
    </b:Author>
    <b:City>Canberra</b:City>
    <b:RefOrder>3</b:RefOrder>
  </b:Source>
  <b:Source>
    <b:Tag>Aus13</b:Tag>
    <b:SourceType>Report</b:SourceType>
    <b:Guid>{D514F768-DAAF-4E6D-A4F1-01D5052CD219}</b:Guid>
    <b:Title>Safety and Quality of End-of-life Care in Acute Hospitals: A Background</b:Title>
    <b:Year>2013</b:Year>
    <b:Publisher>ACSQHC</b:Publisher>
    <b:City>Sydney</b:City>
    <b:Author>
      <b:Author>
        <b:Corporate>Australian Commission on Safety and Quality in Health Care</b:Corporate>
      </b:Author>
    </b:Author>
    <b:RefOrder>4</b:RefOrder>
  </b:Source>
  <b:Source>
    <b:Tag>Aus15</b:Tag>
    <b:SourceType>Report</b:SourceType>
    <b:Guid>{18F2BBA9-CC9B-4ABA-9B67-E46DF054D009}</b:Guid>
    <b:Author>
      <b:Author>
        <b:Corporate>Australian Commission on Safety and Quality in Health Care</b:Corporate>
      </b:Author>
    </b:Author>
    <b:Title>National Consensus Statement: essential elements for safe and high‑quality end-of-life care</b:Title>
    <b:Year>2015</b:Year>
    <b:Publisher>ACSQHC</b:Publisher>
    <b:City>Sydney</b:City>
    <b:RefOrder>5</b:RefOrder>
  </b:Source>
  <b:Source>
    <b:Tag>Eur14</b:Tag>
    <b:SourceType>Book</b:SourceType>
    <b:Guid>{66886AE0-1DD9-4BDD-A8DA-7C344A45B3B4}</b:Guid>
    <b:Title>Promoting palliative care in the community: producing a toolkit to improve and develop primary palliative care in different countries internationally</b:Title>
    <b:Year>2014</b:Year>
    <b:Publisher>EAPC</b:Publisher>
    <b:Author>
      <b:Author>
        <b:NameList>
          <b:Person>
            <b:Last>European Association for Palliative Care</b:Last>
          </b:Person>
        </b:NameList>
      </b:Author>
    </b:Author>
    <b:RefOrder>6</b:RefOrder>
  </b:Source>
  <b:Source>
    <b:Tag>Eco</b:Tag>
    <b:SourceType>Report</b:SourceType>
    <b:Guid>{CD999972-9010-47C1-A74A-94751944206C}</b:Guid>
    <b:Title>The 2015 Quality of Death Index. Ranking palliative care across the world</b:Title>
    <b:Author>
      <b:Author>
        <b:NameList>
          <b:Person>
            <b:Last>Economist Intelligence Unit</b:Last>
          </b:Person>
        </b:NameList>
      </b:Author>
    </b:Author>
    <b:Year>2015</b:Year>
    <b:RefOrder>7</b:RefOrder>
  </b:Source>
  <b:Source>
    <b:Tag>Ros15</b:Tag>
    <b:SourceType>JournalArticle</b:SourceType>
    <b:Guid>{07A604D1-E487-4194-AD0B-578FC40BD7EB}</b:Guid>
    <b:Title>Agora: building bridges in palliative care in the Netherlands</b:Title>
    <b:Year>2015</b:Year>
    <b:JournalName>European Journal of Palliative Care</b:JournalName>
    <b:Pages>309-311</b:Pages>
    <b:Volume>22</b:Volume>
    <b:Issue>6</b:Issue>
    <b:Author>
      <b:Author>
        <b:NameList>
          <b:Person>
            <b:Last>Ross</b:Last>
            <b:First>C</b:First>
          </b:Person>
        </b:NameList>
      </b:Author>
    </b:Author>
    <b:RefOrder>8</b:RefOrder>
  </b:Source>
  <b:Source>
    <b:Tag>Zon15</b:Tag>
    <b:SourceType>Book</b:SourceType>
    <b:Guid>{D1A2DD3D-9DA6-4923-8AD4-E049E0E80384}</b:Guid>
    <b:Title>Palliative Care. Palliative Care Programme 2014-2020</b:Title>
    <b:Year>2015</b:Year>
    <b:City>The Hague</b:City>
    <b:Publisher>ZonMw</b:Publisher>
    <b:Author>
      <b:Author>
        <b:NameList>
          <b:Person>
            <b:Last>ZonMw</b:Last>
          </b:Person>
        </b:NameList>
      </b:Author>
    </b:Author>
    <b:RefOrder>9</b:RefOrder>
  </b:Source>
  <b:Source>
    <b:Tag>Hea09</b:Tag>
    <b:SourceType>Book</b:SourceType>
    <b:Guid>{E31129F2-CCD1-4A1B-B0AF-0D3ABB10B88F}</b:Guid>
    <b:Title>Palliative Care Services - Five Year/Medium Term Development Framework</b:Title>
    <b:Year>2009</b:Year>
    <b:Publisher>Health Service Executive</b:Publisher>
    <b:Author>
      <b:Author>
        <b:NameList>
          <b:Person>
            <b:Last>Health Service Executive</b:Last>
          </b:Person>
        </b:NameList>
      </b:Author>
    </b:Author>
    <b:RefOrder>10</b:RefOrder>
  </b:Source>
  <b:Source>
    <b:Tag>Tra12</b:Tag>
    <b:SourceType>Book</b:SourceType>
    <b:Guid>{AE1D64BD-4B36-4E78-8637-2CD1DFA377A9}</b:Guid>
    <b:Title>Measuring what matters: palliative care</b:Title>
    <b:Year>2012</b:Year>
    <b:Author>
      <b:Author>
        <b:NameList>
          <b:Person>
            <b:Last>Trainor</b:Last>
            <b:First>S</b:First>
          </b:Person>
          <b:Person>
            <b:Last>Naylor</b:Last>
            <b:First>W</b:First>
          </b:Person>
        </b:NameList>
      </b:Author>
    </b:Author>
    <b:City>The Palliative Care Council of New Zealand. Wellington</b:City>
    <b:Publisher>Cancer Control New Zealand</b:Publisher>
    <b:RefOrder>11</b:RefOrder>
  </b:Source>
  <b:Source>
    <b:Tag>Hos14</b:Tag>
    <b:SourceType>Book</b:SourceType>
    <b:Guid>{7AE2D016-F364-4AAE-99EF-80040983250D}</b:Guid>
    <b:Title>Hospice New Zealand | 2014 Annual Review</b:Title>
    <b:Year>2014</b:Year>
    <b:City>Wellington</b:City>
    <b:Publisher>Hospice New Zealand</b:Publisher>
    <b:Author>
      <b:Author>
        <b:NameList>
          <b:Person>
            <b:Last>Hospice New Zealand</b:Last>
          </b:Person>
        </b:NameList>
      </b:Author>
    </b:Author>
    <b:RefOrder>12</b:RefOrder>
  </b:Source>
  <b:Source>
    <b:Tag>Kro15</b:Tag>
    <b:SourceType>Report</b:SourceType>
    <b:Guid>{28234C50-696C-40B4-9F61-96B1001F7FF6}</b:Guid>
    <b:Title>Population growth in Australia</b:Title>
    <b:Year>2015</b:Year>
    <b:Publisher>The Australia Institute</b:Publisher>
    <b:City>Canberra</b:City>
    <b:Author>
      <b:Author>
        <b:NameList>
          <b:Person>
            <b:Last>Krockenberger</b:Last>
            <b:First>M</b:First>
          </b:Person>
        </b:NameList>
      </b:Author>
    </b:Author>
    <b:RefOrder>13</b:RefOrder>
  </b:Source>
  <b:Source>
    <b:Tag>Aus131</b:Tag>
    <b:SourceType>InternetSite</b:SourceType>
    <b:Guid>{8810B8D7-8873-473A-A198-E9D0A5898944}</b:Guid>
    <b:Title>Population Projections, Australia, 2012 (base) to 2101</b:Title>
    <b:Year>2013</b:Year>
    <b:Author>
      <b:Author>
        <b:NameList>
          <b:Person>
            <b:Last>Australian Bureau of Statistics</b:Last>
          </b:Person>
        </b:NameList>
      </b:Author>
    </b:Author>
    <b:YearAccessed>2016</b:YearAccessed>
    <b:MonthAccessed>June</b:MonthAccessed>
    <b:DayAccessed>2</b:DayAccessed>
    <b:URL>http://www.abs.gov.au/ausstats/abs@.nsf/Lookup/3222.0main+features32012%20(base)%20to%202101</b:URL>
    <b:InternetSiteTitle>cat. no. 3222.0</b:InternetSiteTitle>
    <b:RefOrder>14</b:RefOrder>
  </b:Source>
  <b:Source>
    <b:Tag>Wil14</b:Tag>
    <b:SourceType>Report</b:SourceType>
    <b:Guid>{16FB5FAC-7952-471F-B3C8-6C29A9E0F83E}</b:Guid>
    <b:Title>Chronic diseases in Australia: The case for changing course</b:Title>
    <b:Year>2014</b:Year>
    <b:Publisher>Australian Health Policy Collaboration</b:Publisher>
    <b:City>Australian Health Policy Collaboration Issues paper No. 2014-02. Melbourne</b:City>
    <b:Author>
      <b:Author>
        <b:NameList>
          <b:Person>
            <b:Last>Willcox</b:Last>
            <b:First>S</b:First>
          </b:Person>
        </b:NameList>
      </b:Author>
    </b:Author>
    <b:RefOrder>15</b:RefOrder>
  </b:Source>
  <b:Source>
    <b:Tag>Sen12</b:Tag>
    <b:SourceType>Book</b:SourceType>
    <b:Guid>{3A4B0C3D-3EF6-496D-9ECF-843945DE3798}</b:Guid>
    <b:Title>Palliative care in Australia</b:Title>
    <b:Year>2012</b:Year>
    <b:City>Canberra</b:City>
    <b:Publisher>Commonwealth of Australia</b:Publisher>
    <b:Author>
      <b:Author>
        <b:NameList>
          <b:Person>
            <b:Last>Senate Community Affairs References Committee</b:Last>
          </b:Person>
        </b:NameList>
      </b:Author>
    </b:Author>
    <b:RefOrder>16</b:RefOrder>
  </b:Source>
  <b:Source>
    <b:Tag>Car14</b:Tag>
    <b:SourceType>Book</b:SourceType>
    <b:Guid>{60271577-960A-4CB3-B099-A4916F32DD61}</b:Guid>
    <b:Title>Dying at home: Preferences and the role of unpaid carers. A discussion paper on supporting carers for in-home, end-of-life care</b:Title>
    <b:Year>2014</b:Year>
    <b:Publisher>Carers Australia</b:Publisher>
    <b:Author>
      <b:Author>
        <b:NameList>
          <b:Person>
            <b:Last>Carers Australia</b:Last>
          </b:Person>
        </b:NameList>
      </b:Author>
    </b:Author>
    <b:RefOrder>17</b:RefOrder>
  </b:Source>
  <b:Source>
    <b:Tag>Swe14</b:Tag>
    <b:SourceType>Book</b:SourceType>
    <b:Guid>{39870008-967B-45B6-89AA-51BA11F9DA45}</b:Guid>
    <b:Title>Dying well</b:Title>
    <b:Year>2014</b:Year>
    <b:Publisher>Grattan Institute</b:Publisher>
    <b:Author>
      <b:Author>
        <b:NameList>
          <b:Person>
            <b:Last>Swerissen</b:Last>
            <b:First>H</b:First>
          </b:Person>
          <b:Person>
            <b:Last>Duckett</b:Last>
            <b:First>S</b:First>
          </b:Person>
        </b:NameList>
      </b:Author>
    </b:Author>
    <b:RefOrder>18</b:RefOrder>
  </b:Source>
  <b:Source>
    <b:Tag>Wor15</b:Tag>
    <b:SourceType>InternetSite</b:SourceType>
    <b:Guid>{A7F0B55F-51C0-40FD-82CC-9288CC74D2DE}</b:Guid>
    <b:Title>Palliative Care, Fact sheet N°402</b:Title>
    <b:Year>2015</b:Year>
    <b:Author>
      <b:Author>
        <b:NameList>
          <b:Person>
            <b:Last>World Health Organization</b:Last>
          </b:Person>
        </b:NameList>
      </b:Author>
    </b:Author>
    <b:YearAccessed>2016</b:YearAccessed>
    <b:MonthAccessed>June</b:MonthAccessed>
    <b:DayAccessed>2</b:DayAccessed>
    <b:URL>http://www.who.int/mediacentre/factsheets/fs402/en/#</b:URL>
    <b:RefOrder>19</b:RefOrder>
  </b:Source>
  <b:Source>
    <b:Tag>Eco10</b:Tag>
    <b:SourceType>Report</b:SourceType>
    <b:Guid>{647D46D4-75DB-4F2B-A502-450B40AF2459}</b:Guid>
    <b:Title>The quality of death. Ranking end-of-life care across the world</b:Title>
    <b:Year>2010</b:Year>
    <b:Author>
      <b:Author>
        <b:NameList>
          <b:Person>
            <b:Last>Economist Intelligence Unit</b:Last>
          </b:Person>
        </b:NameList>
      </b:Author>
    </b:Author>
    <b:RefOrder>20</b:RefOrder>
  </b:Source>
  <b:Source>
    <b:Tag>Wor11</b:Tag>
    <b:SourceType>Book</b:SourceType>
    <b:Guid>{3F9453DD-4F64-45B0-89A4-8BCF77CB1923}</b:Guid>
    <b:Title>Palliative care for older people: better practices</b:Title>
    <b:Year>2011</b:Year>
    <b:City>Copenhagen</b:City>
    <b:Publisher>WHO Regional Office for Europe</b:Publisher>
    <b:Author>
      <b:Author>
        <b:NameList>
          <b:Person>
            <b:Last>World Health Organization</b:Last>
          </b:Person>
        </b:NameList>
      </b:Author>
    </b:Author>
    <b:RefOrder>21</b:RefOrder>
  </b:Source>
  <b:Source>
    <b:Tag>NSH16</b:Tag>
    <b:SourceType>Book</b:SourceType>
    <b:Guid>{88A39CB9-C165-4DE2-AC5D-6D914D29BAEB}</b:Guid>
    <b:Author>
      <b:Author>
        <b:NameList>
          <b:Person>
            <b:Last>NHS England</b:Last>
          </b:Person>
        </b:NameList>
      </b:Author>
    </b:Author>
    <b:Title>Specialist Level Palliative Care: Information for commissioners</b:Title>
    <b:Year>2016</b:Year>
    <b:City>Leeds</b:City>
    <b:Publisher>NHS England</b:Publisher>
    <b:RefOrder>22</b:RefOrder>
  </b:Source>
  <b:Source>
    <b:Tag>The11</b:Tag>
    <b:SourceType>Book</b:SourceType>
    <b:Guid>{373B4DB0-E405-44E5-973D-E41E3AB4D825}</b:Guid>
    <b:Title>Primary Palliative Care in Ireland. Identifying improvements in primary care to support the care of those in their last year of life.</b:Title>
    <b:Year>2011</b:Year>
    <b:Publisher>In collaboration with The Irish College of General Practitioners and the The Health Service Executive. The Irish Hospice Foundation</b:Publisher>
    <b:Author>
      <b:Author>
        <b:NameList>
          <b:Person>
            <b:Last>The Irish Hospice Foundation</b:Last>
          </b:Person>
        </b:NameList>
      </b:Author>
    </b:Author>
    <b:RefOrder>23</b:RefOrder>
  </b:Source>
  <b:Source>
    <b:Tag>The16</b:Tag>
    <b:SourceType>InternetSite</b:SourceType>
    <b:Guid>{BCE657CC-B8F1-4770-9EB8-CB773ED04211}</b:Guid>
    <b:Title>Primary Palliative Care</b:Title>
    <b:YearAccessed>2016</b:YearAccessed>
    <b:MonthAccessed>June</b:MonthAccessed>
    <b:DayAccessed>21</b:DayAccessed>
    <b:URL>http://hospicefoundation.ie/healthcare-programmes/primary-palliative-care/</b:URL>
    <b:Author>
      <b:Author>
        <b:NameList>
          <b:Person>
            <b:Last>The Irish Hospice Foundation</b:Last>
          </b:Person>
        </b:NameList>
      </b:Author>
    </b:Author>
    <b:RefOrder>24</b:RefOrder>
  </b:Source>
  <b:Source>
    <b:Tag>Aus16</b:Tag>
    <b:SourceType>InternetSite</b:SourceType>
    <b:Guid>{BB2CF02F-1355-48AB-8FB9-4536C8A57D76}</b:Guid>
    <b:Title>Palliative care</b:Title>
    <b:Year>2016</b:Year>
    <b:YearAccessed>2016</b:YearAccessed>
    <b:MonthAccessed>June</b:MonthAccessed>
    <b:DayAccessed>2</b:DayAccessed>
    <b:URL>http://www.aihw.gov.au/palliative-care/</b:URL>
    <b:Author>
      <b:Author>
        <b:NameList>
          <b:Person>
            <b:Last>Australian Institute of Health and Welfare</b:Last>
          </b:Person>
        </b:NameList>
      </b:Author>
    </b:Author>
    <b:RefOrder>25</b:RefOrder>
  </b:Source>
  <b:Source>
    <b:Tag>Depnd</b:Tag>
    <b:SourceType>InternetSite</b:SourceType>
    <b:Guid>{757672DA-6EE9-4AA5-B090-C8CE96D9BD07}</b:Guid>
    <b:Title>National Palliative Care Projects</b:Title>
    <b:Year>n.d.</b:Year>
    <b:YearAccessed>2016</b:YearAccessed>
    <b:MonthAccessed>July</b:MonthAccessed>
    <b:DayAccessed>6</b:DayAccessed>
    <b:URL>http://www.health.gov.au/internet/main/publishing.nsf/Content/palliativecare-program.htm#1</b:URL>
    <b:Author>
      <b:Author>
        <b:NameList>
          <b:Person>
            <b:Last>Department of Health</b:Last>
          </b:Person>
        </b:NameList>
      </b:Author>
    </b:Author>
    <b:RefOrder>26</b:RefOrder>
  </b:Source>
  <b:Source>
    <b:Tag>Aus161</b:Tag>
    <b:SourceType>InternetSite</b:SourceType>
    <b:Guid>{AF60F649-3125-4362-90EB-E4BF376B0D23}</b:Guid>
    <b:Title>About chronic diseases</b:Title>
    <b:Year>2016</b:Year>
    <b:YearAccessed>2016</b:YearAccessed>
    <b:MonthAccessed>June</b:MonthAccessed>
    <b:DayAccessed>6</b:DayAccessed>
    <b:URL>http://www.aihw.gov.au/chronic-diseases/about/</b:URL>
    <b:Author>
      <b:Author>
        <b:NameList>
          <b:Person>
            <b:Last>Australian Institute of Health and Welfare</b:Last>
          </b:Person>
        </b:NameList>
      </b:Author>
    </b:Author>
    <b:RefOrder>27</b:RefOrder>
  </b:Source>
  <b:Source>
    <b:Tag>Aus14</b:Tag>
    <b:SourceType>Report</b:SourceType>
    <b:Guid>{2E07E473-5314-43D5-AA69-3D64B2466784}</b:Guid>
    <b:Title>Australia’s health 2014</b:Title>
    <b:Year>2014</b:Year>
    <b:Publisher>AIHW</b:Publisher>
    <b:City>Australia’s health series no. 14. Cat. no. AUS. 178. Canberra</b:City>
    <b:Author>
      <b:Author>
        <b:NameList>
          <b:Person>
            <b:Last>Australian Institute of Health and Welfare</b:Last>
          </b:Person>
        </b:NameList>
      </b:Author>
    </b:Author>
    <b:RefOrder>28</b:RefOrder>
  </b:Source>
  <b:Source>
    <b:Tag>Aus</b:Tag>
    <b:SourceType>Book</b:SourceType>
    <b:Guid>{D32229E0-DF31-470F-8290-799B971E6BE0}</b:Guid>
    <b:Title>Cancer in Australia: an overview, 2010</b:Title>
    <b:Author>
      <b:Author>
        <b:Corporate>Australian Institute of Health and Welfare &amp; Australasian Association of Cancer Registries</b:Corporate>
      </b:Author>
    </b:Author>
    <b:City>Cancer series no. 60. Cat. no. CAN 56. Canberra</b:City>
    <b:Publisher>AIHW</b:Publisher>
    <b:Year>2010</b:Year>
    <b:RefOrder>29</b:RefOrder>
  </b:Source>
  <b:Source>
    <b:Tag>Aus12</b:Tag>
    <b:SourceType>Book</b:SourceType>
    <b:Guid>{AA51E4E4-EA42-4B9A-8549-F320F4202DAB}</b:Guid>
    <b:Title>Cancer incidence projections: Australia, 2011 to 2020</b:Title>
    <b:Year>2012</b:Year>
    <b:City>Cancer Series no. 66. Cat. No. CAN 62. Canberra</b:City>
    <b:Publisher>AIHW</b:Publisher>
    <b:Author>
      <b:Author>
        <b:NameList>
          <b:Person>
            <b:Last>Australian Institute of Health and Welfare</b:Last>
          </b:Person>
        </b:NameList>
      </b:Author>
    </b:Author>
    <b:RefOrder>30</b:RefOrder>
  </b:Source>
  <b:Source>
    <b:Tag>Aus121</b:Tag>
    <b:SourceType>Book</b:SourceType>
    <b:Guid>{954B8B10-076E-4DE9-A41E-6B6FCB3429D9}</b:Guid>
    <b:Author>
      <b:Author>
        <b:NameList>
          <b:Person>
            <b:Last>Australian Institute of Health and Welfare</b:Last>
          </b:Person>
        </b:NameList>
      </b:Author>
    </b:Author>
    <b:Title>Palliative care services in Australia 2012</b:Title>
    <b:Year>2012</b:Year>
    <b:City>Cat. no. HWI 120. Canberra</b:City>
    <b:Publisher>AIHW</b:Publisher>
    <b:RefOrder>31</b:RefOrder>
  </b:Source>
  <b:Source>
    <b:Tag>Hea16</b:Tag>
    <b:SourceType>Report</b:SourceType>
    <b:Guid>{896F4FCC-2943-403E-89C5-54A5483770A6}</b:Guid>
    <b:Title>Victoria's end of life and palliative care framework. A guide for high-quality end of life care for all Victorians.</b:Title>
    <b:Year>2016</b:Year>
    <b:Publisher>State of Victoria</b:Publisher>
    <b:City>Melbourne</b:City>
    <b:Author>
      <b:Author>
        <b:NameList>
          <b:Person>
            <b:Last>Health and Human Services</b:Last>
          </b:Person>
        </b:NameList>
      </b:Author>
    </b:Author>
    <b:RefOrder>32</b:RefOrder>
  </b:Source>
  <b:Source>
    <b:Tag>Lea14</b:Tag>
    <b:SourceType>Book</b:SourceType>
    <b:Guid>{B38E8F85-EC79-4E76-84A9-1A4EF3ECFBE2}</b:Guid>
    <b:Title>One chance to get it right</b:Title>
    <b:Year>2014</b:Year>
    <b:City>Publications Gateway Reference 01509</b:City>
    <b:Author>
      <b:Author>
        <b:NameList>
          <b:Person>
            <b:Last>Leadership Alliance for the Care of Dying People</b:Last>
          </b:Person>
        </b:NameList>
      </b:Author>
    </b:Author>
    <b:RefOrder>33</b:RefOrder>
  </b:Source>
  <b:Source>
    <b:Tag>NHS14</b:Tag>
    <b:SourceType>Book</b:SourceType>
    <b:Guid>{90F11BD6-552B-4B44-BFFF-6B15C646A947}</b:Guid>
    <b:Title>NHS England's Actions for End of Life Care</b:Title>
    <b:Year>2014</b:Year>
    <b:City>Leeds</b:City>
    <b:Publisher>NHS England</b:Publisher>
    <b:Author>
      <b:Author>
        <b:NameList>
          <b:Person>
            <b:Last>NHS England</b:Last>
          </b:Person>
        </b:NameList>
      </b:Author>
    </b:Author>
    <b:RefOrder>34</b:RefOrder>
  </b:Source>
  <b:Source>
    <b:Tag>Pal14</b:Tag>
    <b:SourceType>Book</b:SourceType>
    <b:Guid>{DE9579E5-1BF7-4941-B8A8-CFC0B7598A0F}</b:Guid>
    <b:Title>Palliative Care Competence Framework </b:Title>
    <b:Year>2014</b:Year>
    <b:City>Dublin</b:City>
    <b:Publisher>Health Service Executive</b:Publisher>
    <b:Author>
      <b:Author>
        <b:Corporate>Palliative Care Competence Framework Steering Group</b:Corporate>
      </b:Author>
    </b:Author>
    <b:RefOrder>35</b:RefOrder>
  </b:Source>
  <b:Source>
    <b:Tag>Min12</b:Tag>
    <b:SourceType>Book</b:SourceType>
    <b:Guid>{2448F68C-6C24-435A-95C5-A602C27CEEF2}</b:Guid>
    <b:Title>Resource and Capability Framework for Integrated Adult Palliative Care Services in New Zealand</b:Title>
    <b:Year>2012</b:Year>
    <b:City>Wellington</b:City>
    <b:Publisher>Ministry of Health</b:Publisher>
    <b:Author>
      <b:Author>
        <b:NameList>
          <b:Person>
            <b:Last>Ministry of Health</b:Last>
          </b:Person>
        </b:NameList>
      </b:Author>
    </b:Author>
    <b:RefOrder>36</b:RefOrder>
  </b:Source>
  <b:Source>
    <b:Tag>Com</b:Tag>
    <b:SourceType>Book</b:SourceType>
    <b:Guid>{526335EC-6F5E-4D1E-A6C9-8B71C9BE221D}</b:Guid>
    <b:Title>Australian Government Response to the Senate Community Affairs References Committee Report: Palliative Care in Australia</b:Title>
    <b:Author>
      <b:Author>
        <b:NameList>
          <b:Person>
            <b:Last>Commonwealth Department of Health</b:Last>
          </b:Person>
        </b:NameList>
      </b:Author>
    </b:Author>
    <b:Year>2015</b:Year>
    <b:City>Canberra</b:City>
    <b:Publisher>Commonwealth of Australia</b:Publisher>
    <b:RefOrder>37</b:RefOrder>
  </b:Source>
  <b:Source>
    <b:Tag>Stj07</b:Tag>
    <b:SourceType>JournalArticle</b:SourceType>
    <b:Guid>{D43EF09D-031C-479F-AF2A-182BBB633C52}</b:Guid>
    <b:Title>The Public Health Strategy for Palliative Care</b:Title>
    <b:JournalName>Journal of Pain and Symptom Management</b:JournalName>
    <b:Year>2007</b:Year>
    <b:Pages>486-493</b:Pages>
    <b:Author>
      <b:Author>
        <b:NameList>
          <b:Person>
            <b:Last>Stjernswärd</b:Last>
            <b:First>J</b:First>
          </b:Person>
          <b:Person>
            <b:Last>Foley</b:Last>
            <b:First>KM</b:First>
          </b:Person>
          <b:Person>
            <b:Last>Ferris</b:Last>
            <b:First>FD</b:First>
          </b:Person>
        </b:NameList>
      </b:Author>
    </b:Author>
    <b:Volume>33</b:Volume>
    <b:Issue>5</b:Issue>
    <b:RefOrder>38</b:RefOrder>
  </b:Source>
  <b:Source>
    <b:Tag>Mur14</b:Tag>
    <b:SourceType>JournalArticle</b:SourceType>
    <b:Guid>{673EF7AC-C711-4C3F-9CD3-71787E75785A}</b:Guid>
    <b:Title>Promoting palliative care in the community: Production of the primary palliative care toolkit by the European Association of Palliative Care Taskforce in primary palliative care</b:Title>
    <b:JournalName>Palliative Medecine</b:JournalName>
    <b:Year>2014</b:Year>
    <b:Pages>101-111</b:Pages>
    <b:Author>
      <b:Author>
        <b:NameList>
          <b:Person>
            <b:Last>Murray</b:Last>
            <b:First>SA</b:First>
          </b:Person>
          <b:Person>
            <b:Last>Firth</b:Last>
            <b:First>A</b:First>
          </b:Person>
          <b:Person>
            <b:Last>Schneider</b:Last>
            <b:First>N</b:First>
          </b:Person>
          <b:Person>
            <b:Last>Van den Eynden</b:Last>
            <b:First>B</b:First>
          </b:Person>
          <b:Person>
            <b:Last>Gomez-Batiste</b:Last>
            <b:First>X</b:First>
          </b:Person>
          <b:Person>
            <b:Last>Brogaard</b:Last>
            <b:First>T</b:First>
          </b:Person>
          <b:Person>
            <b:Last>Villanueva</b:Last>
            <b:First>T</b:First>
          </b:Person>
          <b:Person>
            <b:Last>Abela</b:Last>
            <b:First>J</b:First>
          </b:Person>
          <b:Person>
            <b:Last>Eychmuller</b:Last>
            <b:First>S</b:First>
          </b:Person>
          <b:Person>
            <b:Last>Mitchell</b:Last>
            <b:First>G</b:First>
          </b:Person>
          <b:Person>
            <b:Last>Downing</b:Last>
            <b:First>J</b:First>
          </b:Person>
          <b:Person>
            <b:Last>Sallnow</b:Last>
            <b:First>L</b:First>
          </b:Person>
          <b:Person>
            <b:Last>Van Rijswijk</b:Last>
            <b:First>E</b:First>
          </b:Person>
          <b:Person>
            <b:Last>Barnard</b:Last>
            <b:First>A</b:First>
          </b:Person>
          <b:Person>
            <b:Last>Lynch</b:Last>
            <b:First>M</b:First>
          </b:Person>
          <b:Person>
            <b:Last>Fogen</b:Last>
            <b:First>F</b:First>
          </b:Person>
          <b:Person>
            <b:Last>Moine</b:Last>
            <b:First>S</b:First>
          </b:Person>
        </b:NameList>
      </b:Author>
    </b:Author>
    <b:Volume>29</b:Volume>
    <b:Issue>2</b:Issue>
    <b:RefOrder>39</b:RefOrder>
  </b:Source>
  <b:Source>
    <b:Tag>Urb13</b:Tag>
    <b:SourceType>Report</b:SourceType>
    <b:Guid>{EC44DAFD-A502-4475-9747-80B03B4ABEDD}</b:Guid>
    <b:Title>Evaluation of the National Palliative care Program </b:Title>
    <b:Year>2013</b:Year>
    <b:Publisher>unpublished report</b:Publisher>
    <b:Author>
      <b:Author>
        <b:NameList>
          <b:Person>
            <b:Last>Urbis</b:Last>
          </b:Person>
        </b:NameList>
      </b:Author>
    </b:Author>
    <b:RefOrder>40</b:RefOrder>
  </b:Source>
  <b:Source>
    <b:Tag>Hea13</b:Tag>
    <b:SourceType>Book</b:SourceType>
    <b:Guid>{82EDF3C1-CCEC-4984-AD08-26AC080BA5A7}</b:Guid>
    <b:Title>Improving End of Life Care for South Australians: A Report by the Health Performance Council of SA</b:Title>
    <b:Year>2013</b:Year>
    <b:City>Adelaide</b:City>
    <b:Publisher>Government of South Australia</b:Publisher>
    <b:Author>
      <b:Author>
        <b:NameList>
          <b:Person>
            <b:Last>Health Performance Council of SA</b:Last>
          </b:Person>
        </b:NameList>
      </b:Author>
    </b:Author>
    <b:RefOrder>41</b:RefOrder>
  </b:Source>
  <b:Source>
    <b:Tag>Pur13</b:Tag>
    <b:SourceType>JournalArticle</b:SourceType>
    <b:Guid>{97331B25-2852-4C92-AC4B-745E443F721A}</b:Guid>
    <b:Title>Impact of the Marie Curie Cancer Care Delivering Choice Programme in Somerset and North Somerset on place of death and hospital usage: a retrospective cohort study</b:Title>
    <b:Year>2013</b:Year>
    <b:JournalName>BMJ Supportive &amp; Palliative Care</b:JournalName>
    <b:Pages>1-6</b:Pages>
    <b:Author>
      <b:Author>
        <b:NameList>
          <b:Person>
            <b:Last>Purdy</b:Last>
            <b:First>S</b:First>
          </b:Person>
          <b:Person>
            <b:Last>Lasseter</b:Last>
            <b:First>G</b:First>
          </b:Person>
          <b:Person>
            <b:Last>Griffin</b:Last>
            <b:First>T</b:First>
          </b:Person>
          <b:Person>
            <b:Last>Wye</b:Last>
            <b:First>L</b:First>
          </b:Person>
        </b:NameList>
      </b:Author>
    </b:Author>
    <b:RefOrder>42</b:RefOrder>
  </b:Source>
</b:Sources>
</file>

<file path=customXml/itemProps1.xml><?xml version="1.0" encoding="utf-8"?>
<ds:datastoreItem xmlns:ds="http://schemas.openxmlformats.org/officeDocument/2006/customXml" ds:itemID="{29CA9E18-2119-40D4-9A38-9A522B23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Tender Template Accessible</Template>
  <TotalTime>645</TotalTime>
  <Pages>39</Pages>
  <Words>9509</Words>
  <Characters>59019</Characters>
  <Application>Microsoft Office Word</Application>
  <DocSecurity>0</DocSecurity>
  <Lines>491</Lines>
  <Paragraphs>136</Paragraphs>
  <ScaleCrop>false</ScaleCrop>
  <HeadingPairs>
    <vt:vector size="2" baseType="variant">
      <vt:variant>
        <vt:lpstr>Title</vt:lpstr>
      </vt:variant>
      <vt:variant>
        <vt:i4>1</vt:i4>
      </vt:variant>
    </vt:vector>
  </HeadingPairs>
  <TitlesOfParts>
    <vt:vector size="1" baseType="lpstr">
      <vt:lpstr>Evaluation of the National Palliative Care Strategy Final Report</vt:lpstr>
    </vt:vector>
  </TitlesOfParts>
  <Company>Urbis</Company>
  <LinksUpToDate>false</LinksUpToDate>
  <CharactersWithSpaces>68392</CharactersWithSpaces>
  <SharedDoc>false</SharedDoc>
  <HLinks>
    <vt:vector size="30" baseType="variant">
      <vt:variant>
        <vt:i4>983121</vt:i4>
      </vt:variant>
      <vt:variant>
        <vt:i4>48</vt:i4>
      </vt:variant>
      <vt:variant>
        <vt:i4>0</vt:i4>
      </vt:variant>
      <vt:variant>
        <vt:i4>5</vt:i4>
      </vt:variant>
      <vt:variant>
        <vt:lpwstr>http://www.urbis.com.au/</vt:lpwstr>
      </vt:variant>
      <vt:variant>
        <vt:lpwstr/>
      </vt:variant>
      <vt:variant>
        <vt:i4>1703998</vt:i4>
      </vt:variant>
      <vt:variant>
        <vt:i4>32</vt:i4>
      </vt:variant>
      <vt:variant>
        <vt:i4>0</vt:i4>
      </vt:variant>
      <vt:variant>
        <vt:i4>5</vt:i4>
      </vt:variant>
      <vt:variant>
        <vt:lpwstr/>
      </vt:variant>
      <vt:variant>
        <vt:lpwstr>_Toc292367801</vt:lpwstr>
      </vt:variant>
      <vt:variant>
        <vt:i4>1703998</vt:i4>
      </vt:variant>
      <vt:variant>
        <vt:i4>26</vt:i4>
      </vt:variant>
      <vt:variant>
        <vt:i4>0</vt:i4>
      </vt:variant>
      <vt:variant>
        <vt:i4>5</vt:i4>
      </vt:variant>
      <vt:variant>
        <vt:lpwstr/>
      </vt:variant>
      <vt:variant>
        <vt:lpwstr>_Toc292367800</vt:lpwstr>
      </vt:variant>
      <vt:variant>
        <vt:i4>1245233</vt:i4>
      </vt:variant>
      <vt:variant>
        <vt:i4>20</vt:i4>
      </vt:variant>
      <vt:variant>
        <vt:i4>0</vt:i4>
      </vt:variant>
      <vt:variant>
        <vt:i4>5</vt:i4>
      </vt:variant>
      <vt:variant>
        <vt:lpwstr/>
      </vt:variant>
      <vt:variant>
        <vt:lpwstr>_Toc292367799</vt:lpwstr>
      </vt:variant>
      <vt:variant>
        <vt:i4>1245233</vt:i4>
      </vt:variant>
      <vt:variant>
        <vt:i4>14</vt:i4>
      </vt:variant>
      <vt:variant>
        <vt:i4>0</vt:i4>
      </vt:variant>
      <vt:variant>
        <vt:i4>5</vt:i4>
      </vt:variant>
      <vt:variant>
        <vt:lpwstr/>
      </vt:variant>
      <vt:variant>
        <vt:lpwstr>_Toc292367798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National Palliative Care Strategy Final Report</dc:title>
  <dc:creator>Urbis Pty Ltd</dc:creator>
  <cp:lastModifiedBy>Lynda Jones</cp:lastModifiedBy>
  <cp:revision>29</cp:revision>
  <cp:lastPrinted>2015-09-02T01:44:00Z</cp:lastPrinted>
  <dcterms:created xsi:type="dcterms:W3CDTF">2016-11-08T06:52:00Z</dcterms:created>
  <dcterms:modified xsi:type="dcterms:W3CDTF">2016-11-18T00:15:00Z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61</vt:lpwstr>
  </property>
  <property fmtid="{D5CDD505-2E9C-101B-9397-08002B2CF9AE}" pid="3" name="Word ver">
    <vt:lpwstr>2003</vt:lpwstr>
  </property>
  <property fmtid="{D5CDD505-2E9C-101B-9397-08002B2CF9AE}" pid="4" name="HeaderText">
    <vt:lpwstr>THIS IS THE NAME OF THE PROJECT IN ONE LINE</vt:lpwstr>
  </property>
  <property fmtid="{D5CDD505-2E9C-101B-9397-08002B2CF9AE}" pid="5" name="FooterText">
    <vt:lpwstr>Footer Text for Document Body</vt:lpwstr>
  </property>
  <property fmtid="{D5CDD505-2E9C-101B-9397-08002B2CF9AE}" pid="6" name="xImage">
    <vt:lpwstr>0</vt:lpwstr>
  </property>
  <property fmtid="{D5CDD505-2E9C-101B-9397-08002B2CF9AE}" pid="7" name="xTOC1">
    <vt:lpwstr>2</vt:lpwstr>
  </property>
  <property fmtid="{D5CDD505-2E9C-101B-9397-08002B2CF9AE}" pid="8" name="xTOF">
    <vt:lpwstr>True</vt:lpwstr>
  </property>
  <property fmtid="{D5CDD505-2E9C-101B-9397-08002B2CF9AE}" pid="9" name="xZZZ">
    <vt:lpwstr>False</vt:lpwstr>
  </property>
  <property fmtid="{D5CDD505-2E9C-101B-9397-08002B2CF9AE}" pid="10" name="xTOP">
    <vt:lpwstr>True</vt:lpwstr>
  </property>
  <property fmtid="{D5CDD505-2E9C-101B-9397-08002B2CF9AE}" pid="11" name="xTOT">
    <vt:lpwstr>True</vt:lpwstr>
  </property>
</Properties>
</file>